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7"/>
        <w:jc w:val="end"/>
        <w:rPr>
          <w:u w:val="single"/>
        </w:rPr>
      </w:pPr>
      <w:r>
        <w:rPr/>
        <w:tab/>
      </w:r>
    </w:p>
    <w:p>
      <w:pPr>
        <w:pStyle w:val="Style17"/>
        <w:jc w:val="start"/>
        <w:rPr/>
      </w:pPr>
      <w:r>
        <w:rPr>
          <w:lang w:val="en-US"/>
        </w:rPr>
        <w:t xml:space="preserve">                                                         </w:t>
      </w:r>
      <w:r>
        <w:rPr/>
        <w:t xml:space="preserve">     </w:t>
      </w:r>
      <w:r>
        <w:rPr>
          <w:lang w:val="en-US"/>
        </w:rPr>
        <w:t xml:space="preserve">  </w:t>
      </w:r>
      <w:r>
        <w:rPr/>
        <w:t>КОНТРАКТ № ________</w:t>
      </w:r>
    </w:p>
    <w:p>
      <w:pPr>
        <w:pStyle w:val="Style17"/>
        <w:rPr>
          <w:sz w:val="22"/>
          <w:szCs w:val="22"/>
        </w:rPr>
      </w:pPr>
      <w:r>
        <w:rPr>
          <w:sz w:val="22"/>
          <w:szCs w:val="22"/>
        </w:rPr>
        <w:t>на отпуск тепловой энергии</w:t>
      </w:r>
    </w:p>
    <w:p>
      <w:pPr>
        <w:pStyle w:val="Style17"/>
        <w:rPr>
          <w:sz w:val="22"/>
          <w:szCs w:val="22"/>
        </w:rPr>
      </w:pPr>
      <w:r>
        <w:rPr>
          <w:sz w:val="22"/>
          <w:szCs w:val="22"/>
        </w:rPr>
        <w:t>и горячей воды</w:t>
      </w:r>
    </w:p>
    <w:p>
      <w:pPr>
        <w:pStyle w:val="Normal"/>
        <w:tabs>
          <w:tab w:val="clear" w:pos="708"/>
          <w:tab w:val="right" w:pos="10206" w:leader="none"/>
        </w:tabs>
        <w:autoSpaceDE w:val="false"/>
        <w:jc w:val="both"/>
        <w:rPr/>
      </w:pPr>
      <w:r>
        <w:rPr>
          <w:sz w:val="20"/>
          <w:szCs w:val="20"/>
        </w:rPr>
        <w:t xml:space="preserve"> </w:t>
      </w:r>
      <w:r>
        <w:rPr>
          <w:bCs/>
          <w:sz w:val="20"/>
          <w:szCs w:val="20"/>
        </w:rPr>
        <w:t>«       »                               г.</w:t>
        <w:tab/>
        <w:t xml:space="preserve">г. Борисоглебск</w:t>
      </w:r>
    </w:p>
    <w:p>
      <w:pPr>
        <w:pStyle w:val="Normal"/>
        <w:autoSpaceDE w:val="false"/>
        <w:jc w:val="both"/>
        <w:rPr>
          <w:bCs/>
          <w:sz w:val="20"/>
          <w:szCs w:val="20"/>
        </w:rPr>
      </w:pPr>
      <w:r>
        <w:rPr>
          <w:bCs/>
          <w:sz w:val="20"/>
          <w:szCs w:val="20"/>
        </w:rPr>
      </w:r>
    </w:p>
    <w:p>
      <w:pPr>
        <w:pStyle w:val="Normal"/>
        <w:ind w:firstLine="708" w:end="0"/>
        <w:jc w:val="both"/>
        <w:rPr>
          <w:b/>
          <w:sz w:val="20"/>
          <w:szCs w:val="20"/>
        </w:rPr>
      </w:pPr>
      <w:r>
        <w:rPr>
          <w:b/>
          <w:sz w:val="20"/>
          <w:szCs w:val="20"/>
        </w:rPr>
        <w:t xml:space="preserve">Муниципальное унитарное предприятие Борисоглебского городского округа Воронежской области «Борисоглебские теплосети»</w:t>
      </w:r>
      <w:r>
        <w:rPr>
          <w:sz w:val="20"/>
          <w:szCs w:val="20"/>
        </w:rPr>
        <w:t xml:space="preserve">, именуемое в дальнейшем “Энергоснабжающая организация”, в лице директора Егоровой Анжелы Анатольевны, действующей на основании Устава, с одной стороны, и ______________</w:t>
      </w:r>
      <w:r>
        <w:rPr>
          <w:b/>
          <w:sz w:val="20"/>
          <w:szCs w:val="20"/>
        </w:rPr>
        <w:t xml:space="preserve"> </w:t>
      </w:r>
      <w:r>
        <w:rPr>
          <w:sz w:val="20"/>
          <w:szCs w:val="20"/>
        </w:rPr>
        <w:t xml:space="preserve">, именуемое в дальнейшем “Абонент”, в  лице ________________________ , действующего на основании ______, с другой стороны, в целях обеспечения государственных нужд и с соблюдением требований п. 8 ст.93 Федерального закона от 05.04.2013г. № 44-ФЗ «О контрактной системе в сфере закупок товаров, работ, услуг для обеспечения государственных и муниципальных нужд», с другой стороны, </w:t>
      </w:r>
      <w:r>
        <w:rPr>
          <w:iCs/>
          <w:sz w:val="20"/>
          <w:szCs w:val="20"/>
        </w:rPr>
        <w:t>заключили настоящий контракт</w:t>
      </w:r>
      <w:r>
        <w:rPr>
          <w:i/>
          <w:iCs/>
          <w:sz w:val="20"/>
          <w:szCs w:val="20"/>
        </w:rPr>
        <w:t xml:space="preserve"> </w:t>
      </w:r>
      <w:r>
        <w:rPr>
          <w:sz w:val="20"/>
          <w:szCs w:val="20"/>
        </w:rPr>
        <w:t>о нижеследующем:</w:t>
      </w:r>
    </w:p>
    <w:p>
      <w:pPr>
        <w:pStyle w:val="Normal"/>
        <w:keepNext w:val="true"/>
        <w:numPr>
          <w:ilvl w:val="0"/>
          <w:numId w:val="0"/>
        </w:numPr>
        <w:autoSpaceDE w:val="false"/>
        <w:spacing w:before="120" w:after="120"/>
        <w:ind w:firstLine="708" w:end="0"/>
        <w:jc w:val="center"/>
        <w:outlineLvl w:val="0"/>
        <w:rPr>
          <w:rFonts w:ascii="TimesNewRoman,Bold;Times New Roman" w:hAnsi="TimesNewRoman,Bold;Times New Roman" w:cs="TimesNewRoman,Bold;Times New Roman"/>
          <w:b/>
          <w:bCs/>
          <w:sz w:val="20"/>
          <w:szCs w:val="20"/>
        </w:rPr>
      </w:pPr>
      <w:r>
        <w:rPr>
          <w:rFonts w:cs="TimesNewRoman,Bold;Times New Roman" w:ascii="TimesNewRoman,Bold;Times New Roman" w:hAnsi="TimesNewRoman,Bold;Times New Roman"/>
          <w:b/>
          <w:bCs/>
          <w:sz w:val="20"/>
          <w:szCs w:val="20"/>
        </w:rPr>
        <w:t>I. Предмет контракта</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1.1. По настоящему контракту «Энергоснабжающая организация» (далее - ЭСО) обеспечивает подачу тепловой энергии и горячей воды  объектам Абонента (указанным в Приложении №1), через присоединенную сеть до границы эксплуатационной ответственности (балансовой принадлежности) ЭСО, а  Абонент обязуется своевременно оплачивать принятую тепловую энергию и горячую воду, а также соблюдать предусмотренный контрактом режим ее потребления, обеспечивать безопасность эксплуатации находящихся в его ведении систем теплопотребления и исправность используемых им приборов и оборудования, связанных с потреблением тепловой энергии.</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1.2. Границы эксплуатационной ответственности (балансовой принадлежности) устанавливаются в соответствии с Приложением №2.</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1.3. При выполнении настоящего договора, а также по всем вопросам, не оговоренным настоящим договором, Стороны обязуются руководствоваться Федеральным законом от 27.07.2009 № 190-ФЗ «О теплоснабжении», Постановлением Правительства РФ № 124 от 14.02.2012г  "О правилах, обязательных при заключении договоров снабжения коммунальными ресурсами" (вместе с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Правилами организации теплоснабжения в Российской Федерации, утвержденными Постановлением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 Гражданским кодексом РФ, Федеральным законом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 Правилами коммерческого учета тепловой энергии, утвержденных постановлением Правительства РФ от 18.11.2013 № 1034 (далее - Правила коммерческого учета тепловой энергии, теплоносителя), Методикой осуществления коммерческого учета тепловой энергии, утвержденной Приказом Минстроя России от 17.03.2014 № 99/пр, Правилами технической эксплуатации энергоустановок, утвержденными Приказом Минэнерго РФ от 24.03.2003 № 115 и иные нормативные правовые акты, в том числе субъектов Российской Федерации.</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В случае внесения изменений в вышеуказанные нормативные акты, а также в случае принятия новых нормативных актов, регулирующих отношения между Сторонами, внесения соответствующих изменений в настоящий договор не требуется. В случае, если положения настоящего договора противоречат нормам действующего законодательства, Стороны руководствуются нормами действующего законодательства.</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r>
    </w:p>
    <w:p>
      <w:pPr>
        <w:pStyle w:val="Normal"/>
        <w:autoSpaceDE w:val="false"/>
        <w:jc w:val="center"/>
        <w:rPr>
          <w:b/>
          <w:sz w:val="20"/>
          <w:szCs w:val="20"/>
        </w:rPr>
      </w:pPr>
      <w:r>
        <w:rPr>
          <w:b/>
          <w:sz w:val="20"/>
          <w:szCs w:val="20"/>
        </w:rPr>
        <w:t>II. Права и обязанности «Энергоснабжающей организации»</w:t>
      </w:r>
    </w:p>
    <w:p>
      <w:pPr>
        <w:pStyle w:val="Normal"/>
        <w:autoSpaceDE w:val="false"/>
        <w:ind w:firstLine="708" w:end="0"/>
        <w:jc w:val="center"/>
        <w:rPr>
          <w:b/>
          <w:sz w:val="10"/>
          <w:szCs w:val="10"/>
        </w:rPr>
      </w:pPr>
      <w:r>
        <w:rPr>
          <w:b/>
          <w:sz w:val="10"/>
          <w:szCs w:val="10"/>
        </w:rPr>
      </w:r>
    </w:p>
    <w:p>
      <w:pPr>
        <w:pStyle w:val="Normal"/>
        <w:autoSpaceDE w:val="false"/>
        <w:ind w:firstLine="708" w:end="0"/>
        <w:jc w:val="both"/>
        <w:rPr>
          <w:rFonts w:ascii="TimesNewRoman;Times New Roman" w:hAnsi="TimesNewRoman;Times New Roman" w:cs="TimesNewRoman;Times New Roman"/>
          <w:b/>
          <w:sz w:val="20"/>
          <w:szCs w:val="20"/>
        </w:rPr>
      </w:pPr>
      <w:r>
        <w:rPr>
          <w:rFonts w:cs="TimesNewRoman;Times New Roman" w:ascii="TimesNewRoman;Times New Roman" w:hAnsi="TimesNewRoman;Times New Roman"/>
          <w:b/>
          <w:sz w:val="20"/>
          <w:szCs w:val="20"/>
        </w:rPr>
        <w:t>2.1 Энергоснабжающая организация обязана:</w:t>
      </w:r>
    </w:p>
    <w:p>
      <w:pPr>
        <w:pStyle w:val="Normal"/>
        <w:autoSpaceDE w:val="false"/>
        <w:ind w:firstLine="708" w:end="0"/>
        <w:jc w:val="both"/>
        <w:rPr>
          <w:sz w:val="20"/>
          <w:szCs w:val="20"/>
        </w:rPr>
      </w:pPr>
      <w:r>
        <w:rPr>
          <w:sz w:val="20"/>
          <w:szCs w:val="20"/>
        </w:rPr>
        <w:t>2.1.1. Подавать Абоненту тепловую энергию и горячую воду по сетям ЭСО до границы эксплуатационной ответственности (балансовой принадлежности) ЭСО (Приложение №2), в соответствии с установленными настоящим контрактом величинами теплопотребления (Приложение №1) с поправкой на фактическую температуру наружного воздуха, согласно данным Воронежского ЦГМС - филиала ФГБУ "Центрально-Черноземное УГМС".</w:t>
      </w:r>
    </w:p>
    <w:p>
      <w:pPr>
        <w:pStyle w:val="Normal"/>
        <w:autoSpaceDE w:val="false"/>
        <w:ind w:firstLine="708" w:end="0"/>
        <w:jc w:val="both"/>
        <w:rPr>
          <w:rFonts w:ascii="TimesNewRoman;Times New Roman" w:hAnsi="TimesNewRoman;Times New Roman" w:cs="TimesNewRoman;Times New Roman"/>
          <w:sz w:val="20"/>
          <w:szCs w:val="20"/>
        </w:rPr>
      </w:pPr>
      <w:r>
        <w:rPr>
          <w:sz w:val="20"/>
          <w:szCs w:val="20"/>
        </w:rPr>
        <w:t>2.1.2. Обеспечивать гарантированную надежность теплоснабжения до границы эксплуатационной ответственности (балансовой принадлежности) ЭСО, в соответствии с Приложением №2.</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2.1.3. Оповещать аварийно-диспетчерские службы потребителей об аварийных ограничениях, прекращении подачи тепла или ухудшении качества горячей воды с указанием причин, принимаемых мерах и сроках устранения.</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2.1.4. Поддерживать в исправном техническом состоянии энергооборудование и сети до границы эксплуатационной ответственности (балансовой принадлежности) (Приложение №2).</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2.1.5. Выполнять требования и предписания Ростехнадзора, принятые в пределах его полномочий, и устранять нарушения, выявленные данной организацией при проведении мероприятий по контролю.</w:t>
      </w:r>
    </w:p>
    <w:p>
      <w:pPr>
        <w:pStyle w:val="Normal"/>
        <w:autoSpaceDE w:val="false"/>
        <w:ind w:firstLine="708" w:end="0"/>
        <w:jc w:val="both"/>
        <w:rPr>
          <w:rFonts w:ascii="TimesNewRoman;Times New Roman" w:hAnsi="TimesNewRoman;Times New Roman" w:cs="TimesNewRoman;Times New Roman"/>
          <w:b/>
          <w:sz w:val="20"/>
          <w:szCs w:val="20"/>
        </w:rPr>
      </w:pPr>
      <w:r>
        <w:rPr>
          <w:rFonts w:cs="TimesNewRoman;Times New Roman" w:ascii="TimesNewRoman;Times New Roman" w:hAnsi="TimesNewRoman;Times New Roman"/>
          <w:b/>
          <w:sz w:val="20"/>
          <w:szCs w:val="20"/>
        </w:rPr>
        <w:t>2.2 Энергоснабжающая организация имеет право:</w:t>
      </w:r>
    </w:p>
    <w:p>
      <w:pPr>
        <w:pStyle w:val="Normal"/>
        <w:autoSpaceDE w:val="false"/>
        <w:ind w:firstLine="708" w:end="0"/>
        <w:jc w:val="both"/>
        <w:rPr/>
      </w:pPr>
      <w:r>
        <w:rPr>
          <w:rFonts w:cs="TimesNewRoman,Italic;Times New Roman" w:ascii="TimesNewRoman,Italic;Times New Roman" w:hAnsi="TimesNewRoman,Italic;Times New Roman"/>
          <w:iCs/>
          <w:sz w:val="20"/>
          <w:szCs w:val="20"/>
        </w:rPr>
        <w:t xml:space="preserve">2.2.1. </w:t>
      </w:r>
      <w:r>
        <w:rPr>
          <w:iCs/>
          <w:sz w:val="20"/>
          <w:szCs w:val="20"/>
        </w:rPr>
        <w:t>Рассматривать заявку Абонента на изменение (пересмотр) тепловых нагрузок. Изменение (пересмотр) тепловых нагрузок осуществляется, в порядке, предусмотренном Правилами установления и изменения (пересмотра) тепловых нагрузок, утвержденных Приказом Минрегиона РФ от 28.12.2009 № 610 «Об утверждении правил установления и изменения (пересмотра) тепловых нагрузок», на основании заявки Абонента на установление тепловой нагрузки, направленной в срок до 1 марта текущего года.</w:t>
      </w:r>
    </w:p>
    <w:p>
      <w:pPr>
        <w:pStyle w:val="Normal"/>
        <w:autoSpaceDE w:val="false"/>
        <w:ind w:firstLine="708" w:end="0"/>
        <w:jc w:val="both"/>
        <w:rPr>
          <w:iCs/>
          <w:sz w:val="20"/>
          <w:szCs w:val="20"/>
        </w:rPr>
      </w:pPr>
      <w:r>
        <w:rPr>
          <w:iCs/>
          <w:sz w:val="20"/>
          <w:szCs w:val="20"/>
        </w:rPr>
        <w:t>Изменение величин тепловых нагрузок вступает в силу с 1 января года, следующего за годом, в котором подана заявка.</w:t>
      </w:r>
    </w:p>
    <w:p>
      <w:pPr>
        <w:pStyle w:val="Normal"/>
        <w:autoSpaceDE w:val="false"/>
        <w:ind w:firstLine="540" w:end="0"/>
        <w:jc w:val="both"/>
        <w:rPr/>
      </w:pPr>
      <w:r>
        <w:rPr>
          <w:iCs/>
          <w:sz w:val="20"/>
          <w:szCs w:val="20"/>
          <w:lang w:eastAsia="en-US"/>
        </w:rPr>
        <w:t xml:space="preserve">2.2.2. </w:t>
      </w:r>
      <w:r>
        <w:rPr>
          <w:sz w:val="20"/>
          <w:szCs w:val="20"/>
          <w:lang w:eastAsia="en-US"/>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Абонентом при необходимости принятия неотложных мер.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pPr>
        <w:pStyle w:val="Normal"/>
        <w:autoSpaceDE w:val="false"/>
        <w:ind w:firstLine="540" w:end="0"/>
        <w:jc w:val="both"/>
        <w:rPr>
          <w:sz w:val="20"/>
          <w:szCs w:val="20"/>
        </w:rPr>
      </w:pPr>
      <w:r>
        <w:rPr>
          <w:sz w:val="20"/>
          <w:szCs w:val="20"/>
        </w:rPr>
        <w:t>Аварийные ограничения осуществляются в соответствии с графиками аварийного ограничения, согласованными с органами местного самоуправления.</w:t>
      </w:r>
    </w:p>
    <w:p>
      <w:pPr>
        <w:pStyle w:val="Normal"/>
        <w:autoSpaceDE w:val="false"/>
        <w:ind w:firstLine="540" w:end="0"/>
        <w:jc w:val="both"/>
        <w:rPr>
          <w:sz w:val="20"/>
          <w:szCs w:val="20"/>
        </w:rPr>
      </w:pPr>
      <w:r>
        <w:rPr>
          <w:sz w:val="20"/>
          <w:szCs w:val="20"/>
        </w:rPr>
        <w:t>Необходимость введения аварийных ограничений может возникнуть в следующих случаях:</w:t>
      </w:r>
    </w:p>
    <w:p>
      <w:pPr>
        <w:pStyle w:val="Normal"/>
        <w:autoSpaceDE w:val="false"/>
        <w:ind w:firstLine="540" w:end="0"/>
        <w:jc w:val="both"/>
        <w:rPr>
          <w:sz w:val="20"/>
          <w:szCs w:val="20"/>
        </w:rPr>
      </w:pPr>
      <w:r>
        <w:rPr>
          <w:sz w:val="20"/>
          <w:szCs w:val="20"/>
        </w:rPr>
        <w:t>- понижение температуры наружного воздуха ниже расчетных значений более чем на 10 градусов на срок более 3 суток;</w:t>
      </w:r>
    </w:p>
    <w:p>
      <w:pPr>
        <w:pStyle w:val="Normal"/>
        <w:autoSpaceDE w:val="false"/>
        <w:ind w:firstLine="540" w:end="0"/>
        <w:jc w:val="both"/>
        <w:rPr>
          <w:sz w:val="20"/>
          <w:szCs w:val="20"/>
        </w:rPr>
      </w:pPr>
      <w:r>
        <w:rPr>
          <w:sz w:val="20"/>
          <w:szCs w:val="20"/>
        </w:rPr>
        <w:t>- возникновение недостатка топлива на источниках тепловой энергии;</w:t>
      </w:r>
    </w:p>
    <w:p>
      <w:pPr>
        <w:pStyle w:val="Normal"/>
        <w:autoSpaceDE w:val="false"/>
        <w:ind w:firstLine="540" w:end="0"/>
        <w:jc w:val="both"/>
        <w:rPr>
          <w:sz w:val="20"/>
          <w:szCs w:val="20"/>
        </w:rPr>
      </w:pPr>
      <w:r>
        <w:rPr>
          <w:sz w:val="20"/>
          <w:szCs w:val="20"/>
        </w:rPr>
        <w:t>- 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водоподогревателей и другого оборудования), требующего восстановления более 6 часов в отопительный период;</w:t>
      </w:r>
    </w:p>
    <w:p>
      <w:pPr>
        <w:pStyle w:val="Normal"/>
        <w:autoSpaceDE w:val="false"/>
        <w:ind w:firstLine="540" w:end="0"/>
        <w:jc w:val="both"/>
        <w:rPr>
          <w:sz w:val="20"/>
          <w:szCs w:val="20"/>
        </w:rPr>
      </w:pPr>
      <w:r>
        <w:rPr>
          <w:sz w:val="20"/>
          <w:szCs w:val="20"/>
        </w:rPr>
        <w:t>-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прекращение подачи воды на источник тепловой энергии от системы водоснабжения;</w:t>
      </w:r>
    </w:p>
    <w:p>
      <w:pPr>
        <w:pStyle w:val="Normal"/>
        <w:autoSpaceDE w:val="false"/>
        <w:ind w:firstLine="540" w:end="0"/>
        <w:jc w:val="both"/>
        <w:rPr>
          <w:sz w:val="20"/>
          <w:szCs w:val="20"/>
        </w:rPr>
      </w:pPr>
      <w:r>
        <w:rPr>
          <w:sz w:val="20"/>
          <w:szCs w:val="20"/>
        </w:rPr>
        <w:t>- 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w:t>
      </w:r>
    </w:p>
    <w:p>
      <w:pPr>
        <w:pStyle w:val="Normal"/>
        <w:autoSpaceDE w:val="false"/>
        <w:ind w:firstLine="540" w:end="0"/>
        <w:jc w:val="both"/>
        <w:rPr>
          <w:sz w:val="20"/>
          <w:szCs w:val="20"/>
        </w:rPr>
      </w:pPr>
      <w:r>
        <w:rPr>
          <w:sz w:val="20"/>
          <w:szCs w:val="20"/>
        </w:rPr>
        <w:t>- 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pPr>
        <w:pStyle w:val="Normal"/>
        <w:autoSpaceDE w:val="false"/>
        <w:ind w:firstLine="540" w:end="0"/>
        <w:jc w:val="both"/>
        <w:rPr>
          <w:sz w:val="20"/>
          <w:szCs w:val="20"/>
        </w:rPr>
      </w:pPr>
      <w:r>
        <w:rPr>
          <w:sz w:val="20"/>
          <w:szCs w:val="20"/>
        </w:rPr>
        <w:t>Об ограничениях Энергоснабжающая организация сообщает Абоненту:</w:t>
      </w:r>
    </w:p>
    <w:p>
      <w:pPr>
        <w:pStyle w:val="Normal"/>
        <w:autoSpaceDE w:val="false"/>
        <w:ind w:firstLine="540" w:end="0"/>
        <w:jc w:val="both"/>
        <w:rPr>
          <w:sz w:val="20"/>
          <w:szCs w:val="20"/>
        </w:rPr>
      </w:pPr>
      <w:r>
        <w:rPr>
          <w:sz w:val="20"/>
          <w:szCs w:val="20"/>
        </w:rPr>
        <w:t>- при возникновении дефицита тепловой мощности и отсутствии резервов на источниках тепловой энергии - за 10 часов до начала ограничений;</w:t>
      </w:r>
    </w:p>
    <w:p>
      <w:pPr>
        <w:pStyle w:val="Normal"/>
        <w:autoSpaceDE w:val="false"/>
        <w:ind w:firstLine="540" w:end="0"/>
        <w:jc w:val="both"/>
        <w:rPr>
          <w:sz w:val="20"/>
          <w:szCs w:val="20"/>
        </w:rPr>
      </w:pPr>
      <w:r>
        <w:rPr>
          <w:sz w:val="20"/>
          <w:szCs w:val="20"/>
        </w:rPr>
        <w:t>- при дефиците топлива - не более чем за 24 часа до начала ограничений.</w:t>
      </w:r>
    </w:p>
    <w:p>
      <w:pPr>
        <w:pStyle w:val="Normal"/>
        <w:autoSpaceDE w:val="false"/>
        <w:ind w:firstLine="540" w:end="0"/>
        <w:jc w:val="both"/>
        <w:rPr>
          <w:sz w:val="20"/>
          <w:szCs w:val="20"/>
        </w:rPr>
      </w:pPr>
      <w:r>
        <w:rPr>
          <w:sz w:val="20"/>
          <w:szCs w:val="20"/>
        </w:rPr>
        <w:t>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w:t>
      </w:r>
    </w:p>
    <w:p>
      <w:pPr>
        <w:pStyle w:val="Normal"/>
        <w:autoSpaceDE w:val="false"/>
        <w:ind w:firstLine="540" w:end="0"/>
        <w:jc w:val="both"/>
        <w:rPr>
          <w:sz w:val="20"/>
          <w:szCs w:val="20"/>
        </w:rPr>
      </w:pPr>
      <w:r>
        <w:rPr>
          <w:sz w:val="20"/>
          <w:szCs w:val="20"/>
        </w:rPr>
        <w:t>Энергоснабжающая организация обязана информировать о введенных аварийных ограничениях и прекращении теплоснабжения соответствующие органы местного самоуправления и органы государственного энергетического надзора в течение 1 суток со дня их введения.</w:t>
      </w:r>
    </w:p>
    <w:p>
      <w:pPr>
        <w:pStyle w:val="Normal"/>
        <w:autoSpaceDE w:val="false"/>
        <w:ind w:firstLine="540" w:end="0"/>
        <w:jc w:val="both"/>
        <w:rPr>
          <w:sz w:val="20"/>
          <w:szCs w:val="20"/>
        </w:rPr>
      </w:pPr>
      <w:r>
        <w:rPr>
          <w:sz w:val="20"/>
          <w:szCs w:val="20"/>
        </w:rPr>
        <w:t>Допускается перерыв теплоснабжения при проведении Энергоснабжающей организацией ремонта тепловой сети, котельного оборудования и водонагревателей в межотопительный период в соответствии с графиком, согласованным с органами местного самоуправления.</w:t>
      </w:r>
    </w:p>
    <w:p>
      <w:pPr>
        <w:pStyle w:val="Normal"/>
        <w:autoSpaceDE w:val="false"/>
        <w:ind w:firstLine="540" w:end="0"/>
        <w:jc w:val="both"/>
        <w:rPr>
          <w:sz w:val="20"/>
          <w:szCs w:val="20"/>
          <w:lang w:eastAsia="en-US"/>
        </w:rPr>
      </w:pPr>
      <w:r>
        <w:rPr>
          <w:sz w:val="20"/>
          <w:szCs w:val="20"/>
          <w:lang w:eastAsia="en-US"/>
        </w:rPr>
        <w:t>2.2.3. Ограничение и прекращение подачи тепловой энергии Абоненту может вводиться в следующих случаях:</w:t>
      </w:r>
    </w:p>
    <w:p>
      <w:pPr>
        <w:pStyle w:val="Normal"/>
        <w:autoSpaceDE w:val="false"/>
        <w:ind w:firstLine="540" w:end="0"/>
        <w:jc w:val="both"/>
        <w:rPr>
          <w:sz w:val="20"/>
          <w:szCs w:val="20"/>
        </w:rPr>
      </w:pPr>
      <w:r>
        <w:rPr>
          <w:sz w:val="20"/>
          <w:szCs w:val="20"/>
        </w:rPr>
        <w:t>- неисполнение или ненадлежащее исполнение Абонентом обязательств по оплате тепловой энергии (мощности) и (или) теплоносителя, а также нарушение условий контракта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теплопотребляющих установок;</w:t>
      </w:r>
    </w:p>
    <w:p>
      <w:pPr>
        <w:pStyle w:val="Normal"/>
        <w:autoSpaceDE w:val="false"/>
        <w:ind w:firstLine="540" w:end="0"/>
        <w:jc w:val="both"/>
        <w:rPr>
          <w:sz w:val="20"/>
          <w:szCs w:val="20"/>
        </w:rPr>
      </w:pPr>
      <w:r>
        <w:rPr>
          <w:sz w:val="20"/>
          <w:szCs w:val="20"/>
        </w:rPr>
        <w:t>- прекращение обязательств сторон по контракту теплоснабжения;</w:t>
      </w:r>
    </w:p>
    <w:p>
      <w:pPr>
        <w:pStyle w:val="Normal"/>
        <w:autoSpaceDE w:val="false"/>
        <w:ind w:firstLine="540" w:end="0"/>
        <w:jc w:val="both"/>
        <w:rPr>
          <w:sz w:val="20"/>
          <w:szCs w:val="20"/>
        </w:rPr>
      </w:pPr>
      <w:r>
        <w:rPr>
          <w:sz w:val="20"/>
          <w:szCs w:val="20"/>
        </w:rPr>
        <w:t>- выявление фактов бездоговорного потребления тепловой энергии (мощности) и (или) теплоносителя;</w:t>
      </w:r>
    </w:p>
    <w:p>
      <w:pPr>
        <w:pStyle w:val="Normal"/>
        <w:autoSpaceDE w:val="false"/>
        <w:ind w:firstLine="540" w:end="0"/>
        <w:jc w:val="both"/>
        <w:rPr>
          <w:sz w:val="20"/>
          <w:szCs w:val="20"/>
        </w:rPr>
      </w:pPr>
      <w:r>
        <w:rPr>
          <w:sz w:val="20"/>
          <w:szCs w:val="20"/>
        </w:rPr>
        <w:t>- возникновение (угроза возникновения) аварийных ситуаций в системе теплоснабжения;</w:t>
      </w:r>
    </w:p>
    <w:p>
      <w:pPr>
        <w:pStyle w:val="Normal"/>
        <w:autoSpaceDE w:val="false"/>
        <w:ind w:firstLine="540" w:end="0"/>
        <w:jc w:val="both"/>
        <w:rPr>
          <w:sz w:val="20"/>
          <w:szCs w:val="20"/>
        </w:rPr>
      </w:pPr>
      <w:r>
        <w:rPr>
          <w:sz w:val="20"/>
          <w:szCs w:val="20"/>
        </w:rPr>
        <w:t>- наличие обращения потребителя о введении ограничения;</w:t>
      </w:r>
    </w:p>
    <w:p>
      <w:pPr>
        <w:pStyle w:val="Normal"/>
        <w:autoSpaceDE w:val="false"/>
        <w:ind w:firstLine="540" w:end="0"/>
        <w:jc w:val="both"/>
        <w:rPr>
          <w:sz w:val="20"/>
          <w:szCs w:val="20"/>
        </w:rPr>
      </w:pPr>
      <w:r>
        <w:rPr>
          <w:sz w:val="20"/>
          <w:szCs w:val="20"/>
        </w:rPr>
        <w:t>- иные случаи, предусмотренные нормативными правовыми актами Российской Федерации или контрактом теплоснабжения.</w:t>
      </w:r>
    </w:p>
    <w:p>
      <w:pPr>
        <w:pStyle w:val="Normal"/>
        <w:autoSpaceDE w:val="false"/>
        <w:ind w:firstLine="540" w:end="0"/>
        <w:jc w:val="both"/>
        <w:rPr>
          <w:sz w:val="20"/>
          <w:szCs w:val="20"/>
        </w:rPr>
      </w:pPr>
      <w:r>
        <w:rPr>
          <w:sz w:val="20"/>
          <w:szCs w:val="20"/>
        </w:rPr>
        <w:t>Порядок ограничения и прекращения подачи тепловой энергии определяется контрактом теплоснабжения с учетом положений Правил организации теплоснабжения в РФ.</w:t>
      </w:r>
    </w:p>
    <w:p>
      <w:pPr>
        <w:pStyle w:val="Normal"/>
        <w:autoSpaceDE w:val="false"/>
        <w:ind w:firstLine="540" w:end="0"/>
        <w:jc w:val="both"/>
        <w:rPr>
          <w:sz w:val="20"/>
          <w:szCs w:val="20"/>
        </w:rPr>
      </w:pPr>
      <w:r>
        <w:rPr>
          <w:sz w:val="20"/>
          <w:szCs w:val="20"/>
        </w:rPr>
        <w:t>В случае исполнения Абонентом требования о погашении (оплате) задолженности в период ограничения режима потребления подача тепловой энергии возобновляется не позднее чем через 48 часов с момента поступления денежных средств на расчетный счет Энергоснабжающей организации.</w:t>
      </w:r>
    </w:p>
    <w:p>
      <w:pPr>
        <w:pStyle w:val="Normal"/>
        <w:autoSpaceDE w:val="false"/>
        <w:ind w:firstLine="540" w:end="0"/>
        <w:jc w:val="both"/>
        <w:rPr>
          <w:sz w:val="20"/>
          <w:szCs w:val="20"/>
        </w:rPr>
      </w:pPr>
      <w:r>
        <w:rPr>
          <w:sz w:val="20"/>
          <w:szCs w:val="20"/>
        </w:rPr>
        <w:t>Энергоснабжающая организация вправе потребовать в установленном законодательством Российской Федерации порядке компенсации Абонентом затрат, понесенных ею в связи с введением ограничения режима потребления и в связи с восстановлением режима потребления.</w:t>
      </w:r>
    </w:p>
    <w:p>
      <w:pPr>
        <w:pStyle w:val="Normal"/>
        <w:autoSpaceDE w:val="false"/>
        <w:ind w:firstLine="540" w:end="0"/>
        <w:jc w:val="both"/>
        <w:rPr>
          <w:sz w:val="20"/>
          <w:szCs w:val="20"/>
          <w:lang w:eastAsia="en-US"/>
        </w:rPr>
      </w:pPr>
      <w:r>
        <w:rPr>
          <w:sz w:val="20"/>
          <w:szCs w:val="20"/>
          <w:lang w:eastAsia="en-US"/>
        </w:rPr>
        <w:tab/>
        <w:t>2.2.4. В случае обнаружения Энергоснабжающей организацией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При составлении указанного акта должны присутствовать Абонент или иное лицо, осуществившие бездоговорное потребление тепловой энергии, теплоносителя, либо их представители. Отказ Абонента или иного лица, осуществивших бездоговорное потребление тепловой энергии, теплоносителя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pPr>
        <w:pStyle w:val="Normal"/>
        <w:autoSpaceDE w:val="false"/>
        <w:ind w:firstLine="540" w:end="0"/>
        <w:jc w:val="both"/>
        <w:rPr>
          <w:sz w:val="20"/>
          <w:szCs w:val="20"/>
        </w:rPr>
      </w:pPr>
      <w:r>
        <w:rPr>
          <w:sz w:val="20"/>
          <w:szCs w:val="20"/>
        </w:rPr>
        <w:t>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w:t>
      </w:r>
    </w:p>
    <w:p>
      <w:pPr>
        <w:pStyle w:val="Normal"/>
        <w:autoSpaceDE w:val="false"/>
        <w:ind w:firstLine="540" w:end="0"/>
        <w:jc w:val="both"/>
        <w:rPr>
          <w:sz w:val="20"/>
          <w:szCs w:val="20"/>
        </w:rPr>
      </w:pPr>
      <w:r>
        <w:rPr>
          <w:sz w:val="20"/>
          <w:szCs w:val="20"/>
        </w:rPr>
        <w:t xml:space="preserve"> </w:t>
      </w:r>
      <w:r>
        <w:rPr>
          <w:sz w:val="20"/>
          <w:szCs w:val="20"/>
        </w:rPr>
        <w:t>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с учетом стоимости услуг по передаче тепловой энергии и подлежит оплате Абонентом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Энергоснабжающей организации. В случае неоплаты в указанный срок Абонентом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Энергоснабжающая организация вправе прекратить подачу тепловой энергии, теплоносителя и взыскать с Абонента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2.2.5. Осуществлять контроль за техническим состоянием систем теплопотребления Абонента, в том числе тепловых пунктов, находящихся на балансе (в зоне эксплуатационной ответственности) потребителей.</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2.2.6. Осуществлять контроль за работой коммерческих приборов учета Абонента путем снятия электронных архивов. При этом снятие архивов производится в присутствии представителя Абонента, о чем составляется соответствующий Акт.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При обнаружении факта передачи Абонентом недостоверных показаний с прибора учета, ЭСО имеет право на проведение перерасчета начислений за отпущенную тепловую энергию за весь период, с даты последнего допуска прибора учета в эксплуатацию.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2.2.7. Вводить в действие согласованные с администрацией города графики ограничения и отключения тепловой энергии в случае ограничения поставки топлива со стороны поставщиков.</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2.2.8. В одностороннем порядке, в течение 10-ти дней, путем направления уведомления Абоненту, изменять свои банковские реквизиты, указанные в настоящем контракте.</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2.2.9. Совместно с Абонентом, ежемесячно, оформлять акт об отпуске тепловой энергии в натуральном и стоимостном выражении и акт сверки расчетов за отпущенную тепловую энергию.</w:t>
      </w:r>
    </w:p>
    <w:p>
      <w:pPr>
        <w:pStyle w:val="Normal"/>
        <w:autoSpaceDE w:val="false"/>
        <w:spacing w:before="120" w:after="120"/>
        <w:jc w:val="center"/>
        <w:rPr/>
      </w:pPr>
      <w:r>
        <w:rPr>
          <w:rFonts w:cs="TimesNewRoman;Times New Roman" w:ascii="TimesNewRoman;Times New Roman" w:hAnsi="TimesNewRoman;Times New Roman"/>
          <w:b/>
          <w:sz w:val="20"/>
          <w:szCs w:val="20"/>
          <w:lang w:val="en-US"/>
        </w:rPr>
        <w:t>III</w:t>
      </w:r>
      <w:r>
        <w:rPr>
          <w:rFonts w:cs="TimesNewRoman;Times New Roman" w:ascii="TimesNewRoman;Times New Roman" w:hAnsi="TimesNewRoman;Times New Roman"/>
          <w:b/>
          <w:sz w:val="20"/>
          <w:szCs w:val="20"/>
        </w:rPr>
        <w:t xml:space="preserve">. Права и </w:t>
      </w:r>
      <w:r>
        <w:rPr>
          <w:b/>
          <w:sz w:val="20"/>
          <w:szCs w:val="20"/>
        </w:rPr>
        <w:t>обязанности</w:t>
      </w:r>
      <w:r>
        <w:rPr>
          <w:rFonts w:cs="TimesNewRoman;Times New Roman" w:ascii="TimesNewRoman;Times New Roman" w:hAnsi="TimesNewRoman;Times New Roman"/>
          <w:b/>
          <w:sz w:val="20"/>
          <w:szCs w:val="20"/>
        </w:rPr>
        <w:t xml:space="preserve"> Абонента</w:t>
      </w:r>
    </w:p>
    <w:p>
      <w:pPr>
        <w:pStyle w:val="Normal"/>
        <w:autoSpaceDE w:val="false"/>
        <w:ind w:firstLine="708" w:end="0"/>
        <w:jc w:val="both"/>
        <w:rPr>
          <w:rFonts w:ascii="TimesNewRoman,Italic;Times New Roman" w:hAnsi="TimesNewRoman,Italic;Times New Roman" w:cs="TimesNewRoman,Italic;Times New Roman"/>
          <w:b/>
          <w:iCs/>
          <w:sz w:val="20"/>
          <w:szCs w:val="20"/>
        </w:rPr>
      </w:pPr>
      <w:r>
        <w:rPr>
          <w:rFonts w:cs="TimesNewRoman;Times New Roman" w:ascii="TimesNewRoman;Times New Roman" w:hAnsi="TimesNewRoman;Times New Roman"/>
          <w:b/>
          <w:sz w:val="20"/>
          <w:szCs w:val="20"/>
        </w:rPr>
        <w:t>3.1 Абонент обязан:</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 xml:space="preserve">3.1.1. Принимать и оплачивать поставляемую ЭСО тепловую энергию (мощность) и теплоноситель за расчетный период (месяц) в сроки и в порядке, установленные настоящим контрактом и действующим законодательством. </w:t>
      </w:r>
    </w:p>
    <w:p>
      <w:pPr>
        <w:pStyle w:val="Normal"/>
        <w:autoSpaceDE w:val="false"/>
        <w:ind w:firstLine="708" w:end="0"/>
        <w:jc w:val="both"/>
        <w:rPr>
          <w:sz w:val="20"/>
          <w:szCs w:val="20"/>
        </w:rPr>
      </w:pPr>
      <w:r>
        <w:rPr>
          <w:sz w:val="20"/>
          <w:szCs w:val="20"/>
        </w:rPr>
        <w:t>3.1.2. Соблюдать «Правила технической эксплуатации тепловых энергоустановок», а также «Правила коммерческого учета тепловой энергии, теплоносителя».</w:t>
      </w:r>
    </w:p>
    <w:p>
      <w:pPr>
        <w:pStyle w:val="Normal"/>
        <w:autoSpaceDE w:val="false"/>
        <w:ind w:firstLine="720" w:end="0"/>
        <w:jc w:val="both"/>
        <w:rPr/>
      </w:pPr>
      <w:r>
        <w:rPr>
          <w:rFonts w:cs="TimesNewRoman,Bold;Times New Roman" w:ascii="TimesNewRoman,Bold;Times New Roman" w:hAnsi="TimesNewRoman,Bold;Times New Roman"/>
          <w:bCs/>
          <w:sz w:val="20"/>
          <w:szCs w:val="20"/>
        </w:rPr>
        <w:t xml:space="preserve">3.1.3. </w:t>
      </w:r>
      <w:r>
        <w:rPr>
          <w:rFonts w:cs="TimesNewRoman,Bold;Times New Roman" w:ascii="TimesNewRoman,Bold;Times New Roman" w:hAnsi="TimesNewRoman,Bold;Times New Roman"/>
          <w:sz w:val="20"/>
          <w:szCs w:val="20"/>
        </w:rPr>
        <w:t>Для поддержания устойчивого гидравлического режима работы источника теплоты, согласовывать с ЭСО отключение своих теплоиспользующих установок и производить ремонт во время плановой остановки котельной.</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3.1.4. В каждом случае перерыва теплоснабжения составлять двухсторонний акт с указанием причины отсутствия теплоснабжения. При этом представители ЭСО приглашаются письмом на имя руководителя для составления акта. Акт об отсутствии тепловой энергии и горячей воды, или акт о недопоставке услуг, подписанный двумя сторонами и подтверждающий вину ЭСО, принимается сторонами к учету и является основанием для проведения перерасчета.</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В противном случае, перерыв в теплоснабжении, несогласованный с ЭСО, не освобождает Абонента от оплаты договорной величины теплопотребления.</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3.1.5. Хранить, использовать в работе и предъявлять по требованию ЭСО следующие документы:</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утвержденную проектную документацию (чертежи, пояснительные записки и др.) на внутреннюю систему отопления и горячего водоснабжения со всеми последующими изменениями;</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акты приемки работ, испытаний и наладки тепловых энергоустановок и тепловых сетей, акты приемки тепловых энергоустановок и тепловых сетей в эксплуатацию;</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акты испытаний технологических трубопроводов, систем горячего водоснабжения, отопления, вентиляции;</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акты приемочных комиссий;</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исполнительные чертежи тепловых энергоустановок и тепловых сетей;</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технические паспорта тепловых энергоустановок и тепловых сетей;</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технический паспорт БТИ;</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3.1.6. Устанавливать приборы учета тепловой энергии только по согласованию с ЭСО.</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3.1.7. Ежедневно вести учет тепловой энергии (при наличии приборов учета) в пронумерованном, прошнурованном и опломбированном ЭСО журнале. Рекомендованная форма журнала дана в Приложении №5 к настоящему контракту.</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 xml:space="preserve"> </w:t>
      </w:r>
      <w:r>
        <w:rPr>
          <w:rFonts w:cs="TimesNewRoman,Italic;Times New Roman" w:ascii="TimesNewRoman,Italic;Times New Roman" w:hAnsi="TimesNewRoman,Italic;Times New Roman"/>
          <w:iCs/>
          <w:sz w:val="20"/>
          <w:szCs w:val="20"/>
        </w:rPr>
        <w:t>Время выхода из строя узла учета тепловой энергии и показания прибора учета (на момент выхода из строя) фиксируется соответствующей записью в журнале с немедленным (не более чем в течение суток) уведомлением об этом ЭСО.</w:t>
      </w:r>
    </w:p>
    <w:p>
      <w:pPr>
        <w:pStyle w:val="Normal"/>
        <w:autoSpaceDE w:val="false"/>
        <w:ind w:firstLine="708" w:end="0"/>
        <w:jc w:val="both"/>
        <w:rPr>
          <w:rFonts w:ascii="TimesNewRoman;Times New Roman" w:hAnsi="TimesNewRoman;Times New Roman" w:cs="TimesNewRoman;Times New Roman"/>
          <w:sz w:val="20"/>
          <w:szCs w:val="20"/>
        </w:rPr>
      </w:pPr>
      <w:r>
        <w:rPr>
          <w:sz w:val="20"/>
          <w:szCs w:val="20"/>
        </w:rPr>
        <w:t>3.1.8. При наличии приборов учета тепловой энергии до 1-го числа каждого месяца представлять в ЭСО акт снятия данных с прибора учета по установленной форме (Приложение №3) за расчетный период с журналом учета тепловой энергии или с почасовым архивом измеряемых величин (на бумажном или электронном носителе), по отдельному запросу- диаграммы самопишущих приборов, а также другие материалы и сведения, касающиеся организации и ведения учета теплопотребления за истекший расчетный месяц. Без подписи ответственных представителей Абонента и ЭСО данный акт (Приложение №3) для расчета не принимается.</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3.1.9. При наличии у субабонента(ов) допущенных в эксплуатацию приборов учета, Абонент заполняет, подписывает и передает в ЭСО акт снятия данных с прибора учета Абонента в целом и по каждому субабоненту в отдельности (Приложение №3).</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3.1.10. При отсутствии у субабонента(ов) приборов учета тепловой энергии, Абонент заключает дополнительное соглашение к контракту со следующим составом участников: ЭСО - Абонент - субабонент(ы), в котором должна быть отражена информация о доле потребления тепловой энергии каждым в отдельности субабонентом в % от теплопотребления Абонентом в целом. Рекомендованная форма дополнительного соглашения дана в Приложении №4 к контракту.</w:t>
      </w:r>
    </w:p>
    <w:p>
      <w:pPr>
        <w:pStyle w:val="Normal"/>
        <w:autoSpaceDE w:val="false"/>
        <w:ind w:firstLine="72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3.1.11. Беспрепятственно допускать представителя ЭСО, при наличии соответствующего удостоверения, для контроля за режимом теплопотребления и состояния приборов учета.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3.1.12.  Обеспечивать сохранность пломб, установленных представителем ЭСО. В случае нарушения целостности пломб, расчет производить в соответствии с договорными объемами с даты последнего допуска прибора учета.</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3.1.13. Обеспечивать сохранность и безопасность эксплуатации принадлежащих ЭСО сетей, приборов учета, дополнительного оборудования, находящихся на территории Абонента, а также сохранность технических средств системы учета, контроля и управления подачей энергии, установленных у Абонента.</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3.1.14. Поддерживать в исправном техническом состоянии теплопотребляющее оборудование, теплопроводы, контрольно-измерительные приборы, приборы коммерческого учета. Своевременно производить планово-предупредительный ремонт и испытания теплопроводов, теплопотребляющего оборудования, запорной и регулирующей арматуры, поверку контрольно-измерительных приборов и приборов учета, согласовывая с ЭСО объем, срок и графики ремонтов.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3.1.15. Установить приборы контроля параметров теплоносителя (манометры и термометры) на границе эксплуатационной ответственности (балансовой принадлежности) тепловых сетей.</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3.1.16. Незамедлительно сообщать в ЭСО об авариях, пожарах, а также иных нарушениях и чрезвычайных ситуациях, возникших при пользовании энергией.</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3.1.17. Выполнять в установленные сроки предписания ЭСО об устранении недостатков в устройстве, эксплуатации и обслуживании систем теплопотребления.</w:t>
      </w:r>
    </w:p>
    <w:p>
      <w:pPr>
        <w:pStyle w:val="Normal"/>
        <w:autoSpaceDE w:val="false"/>
        <w:ind w:firstLine="720" w:end="0"/>
        <w:jc w:val="both"/>
        <w:rPr/>
      </w:pPr>
      <w:r>
        <w:rPr>
          <w:rFonts w:cs="TimesNewRoman;Times New Roman" w:ascii="TimesNewRoman;Times New Roman" w:hAnsi="TimesNewRoman;Times New Roman"/>
          <w:bCs/>
          <w:sz w:val="20"/>
          <w:szCs w:val="20"/>
        </w:rPr>
        <w:t xml:space="preserve">3.1.18. </w:t>
      </w:r>
      <w:r>
        <w:rPr>
          <w:rFonts w:cs="TimesNewRoman,Bold;Times New Roman" w:ascii="TimesNewRoman,Bold;Times New Roman" w:hAnsi="TimesNewRoman,Bold;Times New Roman"/>
          <w:sz w:val="20"/>
          <w:szCs w:val="20"/>
        </w:rPr>
        <w:t xml:space="preserve">Ежегодно выполнять мероприятия по подготовке системы теплопотребления к работе в отопительный период и не позднее 15 сентября предъявлять их в ЭСО для проверки и выдачи заключения в виде акта готовности к эксплуатации системы отопления и горячего водоснабжения. При отсутствии акта готовности, включение систем теплопотребления Абонента считается самовольным.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3.1.19. Сообщать в течение 10 дней в ЭСО об изменении банковских реквизитов, наименований Абонента, ведомственной и балансовой принадлежности, а также обо всех изменениях субабонентов с указанием наименования и максимальной часовой нагрузки теплопотребления.</w:t>
      </w:r>
    </w:p>
    <w:p>
      <w:pPr>
        <w:pStyle w:val="Normal"/>
        <w:autoSpaceDE w:val="false"/>
        <w:ind w:firstLine="708" w:end="0"/>
        <w:jc w:val="both"/>
        <w:rPr>
          <w:sz w:val="20"/>
          <w:szCs w:val="20"/>
        </w:rPr>
      </w:pPr>
      <w:r>
        <w:rPr>
          <w:sz w:val="20"/>
          <w:szCs w:val="20"/>
        </w:rPr>
        <w:t>3.1.20. Ежемесячно, в течение 5 (пяти) рабочих дней, подписывать предоставленный оформленный в натуральном и стоимостном выражении подписанный ЭСО акт об отпуске тепловой энергии, а также не реже 1 раза в квартал подписывать предоставленный подписанный ЭСО акт сверки расчетов за отпущенную тепловую энергию.</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3.1.21. Самостоятельно производить устранение утечки и порывов в тепловых сетях, находящихся в зоне его эксплуатационной ответственности (балансовой принадлежности).</w:t>
      </w:r>
    </w:p>
    <w:p>
      <w:pPr>
        <w:pStyle w:val="Normal"/>
        <w:autoSpaceDE w:val="false"/>
        <w:ind w:firstLine="708" w:end="0"/>
        <w:jc w:val="both"/>
        <w:rPr>
          <w:rFonts w:ascii="TimesNewRoman;Times New Roman" w:hAnsi="TimesNewRoman;Times New Roman" w:cs="TimesNewRoman;Times New Roman"/>
          <w:sz w:val="20"/>
          <w:szCs w:val="20"/>
        </w:rPr>
      </w:pPr>
      <w:r>
        <w:rPr>
          <w:rFonts w:cs="TimesNewRoman,Italic;Times New Roman" w:ascii="TimesNewRoman,Italic;Times New Roman" w:hAnsi="TimesNewRoman,Italic;Times New Roman"/>
          <w:iCs/>
          <w:sz w:val="20"/>
          <w:szCs w:val="20"/>
        </w:rPr>
        <w:t>3.1.22. Рационально использовать поставляемую ЭСО тепловую энергию. Производить регулировку внутренней системы отопления, с целью обеспечения равномерного распределения количества и качества теплоносителя и поддержания температуры воздуха внутри каждого помещения отапливаемого здания в соответствии с требованиями СНиП.</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3.1.23. Предоставлять документы, подтверждающие наличие установленного лимита в рамках бюджетных обязательств.</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3.1.24. При несвоевременном поступлении или недостатке бюджетных средств для оплаты потребленной тепловой энергии, принимать соответствующие меры для своевременного исполнения бюджетных обязательств и принимать меры для дополнительного выделения лимитов.</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3.1.25. Предоставлять в ЭСО список лиц, ответственных за теплоснабжение с указанием контактных телефонов, факса.</w:t>
      </w:r>
    </w:p>
    <w:p>
      <w:pPr>
        <w:pStyle w:val="Normal"/>
        <w:autoSpaceDE w:val="false"/>
        <w:ind w:firstLine="708" w:end="0"/>
        <w:jc w:val="both"/>
        <w:rPr/>
      </w:pPr>
      <w:r>
        <w:rPr>
          <w:rFonts w:cs="Calibri" w:ascii="TimesNewRoman;Times New Roman" w:hAnsi="TimesNewRoman;Times New Roman"/>
          <w:sz w:val="20"/>
          <w:szCs w:val="20"/>
          <w:lang w:eastAsia="en-US"/>
        </w:rPr>
        <w:t xml:space="preserve">3.1.26. </w:t>
      </w:r>
      <w:r>
        <w:rPr>
          <w:sz w:val="20"/>
          <w:szCs w:val="20"/>
          <w:lang w:eastAsia="en-US"/>
        </w:rPr>
        <w:t>Подавать заявку на изменение (пересмотр) тепловых нагрузок в Энергоснабжающую организацию не позднее 1 марта текущего года.</w:t>
      </w:r>
    </w:p>
    <w:p>
      <w:pPr>
        <w:pStyle w:val="Normal"/>
        <w:autoSpaceDE w:val="false"/>
        <w:ind w:firstLine="708" w:end="0"/>
        <w:jc w:val="both"/>
        <w:rPr>
          <w:sz w:val="20"/>
          <w:szCs w:val="20"/>
        </w:rPr>
      </w:pPr>
      <w:r>
        <w:rPr>
          <w:sz w:val="20"/>
          <w:szCs w:val="20"/>
        </w:rPr>
        <w:t>Заявка Абонента должна включать сведения, установленные в Правилах установления и изменения (пересмотра) тепловых нагрузок, утвержденных Приказом Минрегиона РФ от 28.12.2009 №610 «Об утверждении правил установления и изменения (пересмотра) тепловых нагрузок».</w:t>
      </w:r>
    </w:p>
    <w:p>
      <w:pPr>
        <w:pStyle w:val="Normal"/>
        <w:autoSpaceDE w:val="false"/>
        <w:ind w:firstLine="708" w:end="0"/>
        <w:jc w:val="both"/>
        <w:rPr>
          <w:sz w:val="20"/>
          <w:szCs w:val="20"/>
        </w:rPr>
      </w:pPr>
      <w:r>
        <w:rPr>
          <w:sz w:val="20"/>
          <w:szCs w:val="20"/>
        </w:rPr>
        <w:t>К заявке должны прилагаться документы, подтверждающие фактическое выполнение мероприятий по изменению тепловой нагрузки (разрешение на ввод в эксплуатацию, акты приемки выполненных работ и т.п.).</w:t>
      </w:r>
    </w:p>
    <w:p>
      <w:pPr>
        <w:pStyle w:val="Normal"/>
        <w:autoSpaceDE w:val="false"/>
        <w:ind w:firstLine="708" w:end="0"/>
        <w:jc w:val="both"/>
        <w:rPr>
          <w:sz w:val="20"/>
          <w:szCs w:val="20"/>
        </w:rPr>
      </w:pPr>
      <w:r>
        <w:rPr>
          <w:sz w:val="20"/>
          <w:szCs w:val="20"/>
        </w:rPr>
        <w:t>Изменение величин тепловых нагрузок вступает в силу с 1 января года, следующего за годом, в котором подана заявка.</w:t>
      </w:r>
    </w:p>
    <w:p>
      <w:pPr>
        <w:pStyle w:val="Normal"/>
        <w:autoSpaceDE w:val="false"/>
        <w:ind w:firstLine="708" w:end="0"/>
        <w:jc w:val="both"/>
        <w:rPr>
          <w:rFonts w:ascii="TimesNewRoman,Italic;Times New Roman" w:hAnsi="TimesNewRoman,Italic;Times New Roman" w:cs="TimesNewRoman,Italic;Times New Roman"/>
          <w:b/>
          <w:iCs/>
          <w:sz w:val="20"/>
          <w:szCs w:val="20"/>
        </w:rPr>
      </w:pPr>
      <w:r>
        <w:rPr>
          <w:rFonts w:cs="TimesNewRoman,Italic;Times New Roman" w:ascii="TimesNewRoman,Italic;Times New Roman" w:hAnsi="TimesNewRoman,Italic;Times New Roman"/>
          <w:b/>
          <w:iCs/>
          <w:sz w:val="20"/>
          <w:szCs w:val="20"/>
        </w:rPr>
        <w:t>3.2 Абонент имеет право:</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3.2.1. Обращаться в отдел сбыта ЭСО за разъяснением вопросов по объемам поставки и оплате тепловой энергии.</w:t>
      </w:r>
    </w:p>
    <w:p>
      <w:pPr>
        <w:pStyle w:val="Normal"/>
        <w:autoSpaceDE w:val="false"/>
        <w:ind w:firstLine="708" w:end="0"/>
        <w:jc w:val="both"/>
        <w:rPr>
          <w:rFonts w:ascii="TimesNewRoman,Italic;Times New Roman" w:hAnsi="TimesNewRoman,Italic;Times New Roman" w:cs="TimesNewRoman,Italic;Times New Roman"/>
          <w:iCs/>
          <w:sz w:val="20"/>
          <w:szCs w:val="20"/>
        </w:rPr>
      </w:pPr>
      <w:r>
        <w:rPr>
          <w:rFonts w:cs="TimesNewRoman,Italic;Times New Roman" w:ascii="TimesNewRoman,Italic;Times New Roman" w:hAnsi="TimesNewRoman,Italic;Times New Roman"/>
          <w:iCs/>
          <w:sz w:val="20"/>
          <w:szCs w:val="20"/>
        </w:rPr>
        <w:t>3.2.2. Производить подключение субабонентов к тепловым сетям Абонента с разрешения ЭСО, согласно выполненным техническим условиям и подписанному дополнительному соглашению к контракту</w:t>
      </w:r>
      <w:r>
        <w:rPr>
          <w:sz w:val="20"/>
          <w:szCs w:val="20"/>
        </w:rPr>
        <w:t>.</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3.2.3. Досрочного расторжения контракта или отказа от части нагрузки при технической возможности ее отключения. При этом Абонент производит отключение своих сетей и теплоиспользующего оборудования от внешней сети на границе эксплуатационной ответственности (балансовой принадлежности) (Приложение №2) путем установки заглушек на прямом и обратном трубопроводах, либо создания видимого разрыва трубопроводов на стороне Абонента, с одновременным составлением акта об отключении с уполномоченным представителем ЭСО.</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3.2.4. Требовать от ЭСО соблюдения расчетных параметров теплоснабжения на границе балансовой принадлежности при соблюдении Абонентом режима теплопотребления и исполнения обязательств по оплате тепловой энергии. Параметры теплоносителя определяются по поверенным, в соответствии с требованиями Госстандарта, приборам контроля параметров теплоносителя (манометрам, термометрам), установленным Абонентом на границе эксплуатационной ответственности (балансовой принадлежности), в соответствии с п.3.1.14 контракта.</w:t>
      </w:r>
    </w:p>
    <w:p>
      <w:pPr>
        <w:pStyle w:val="Normal"/>
        <w:autoSpaceDE w:val="false"/>
        <w:ind w:firstLine="720" w:end="0"/>
        <w:jc w:val="both"/>
        <w:rPr/>
      </w:pPr>
      <w:r>
        <w:rPr>
          <w:rFonts w:cs="TimesNewRoman;Times New Roman" w:ascii="TimesNewRoman;Times New Roman" w:hAnsi="TimesNewRoman;Times New Roman"/>
          <w:bCs/>
          <w:sz w:val="20"/>
          <w:szCs w:val="20"/>
        </w:rPr>
        <w:t xml:space="preserve">3.2.5. </w:t>
      </w:r>
      <w:r>
        <w:rPr>
          <w:rFonts w:cs="TimesNewRoman,Bold;Times New Roman" w:ascii="TimesNewRoman,Bold;Times New Roman" w:hAnsi="TimesNewRoman,Bold;Times New Roman"/>
          <w:sz w:val="20"/>
          <w:szCs w:val="20"/>
        </w:rPr>
        <w:t>Вызывать ответственного представителя ЭСО путем направления письма-уведомления на имя руководителя для составления акта «О снижении параметров теплоносителя на цели отопления и горячего водоснабжения на границе эксплуатационной ответственности».</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Факт снижения параметров определяется на основании показаний контрольно-измерительных приборов, установленных Абонентом в соответствии с п.3.1.14 настоящего контракта. Письмо-уведомление направляется Абонентом не менее чем за сутки до составления акта.</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По результатам обследования и на основании показаний приборов, контролирующих параметры теплоносителя, составляется Акт «О снижении параметров теплоносителя на цели отопления и горячего водоснабжения на границе эксплуатационной ответственности». Акт, подписанный представителем Абонента и ЭСО, и подтверждающий вину ЭСО в некачественной поставке тепловой энергии, является основанием для проведения перерасчета.</w:t>
      </w:r>
    </w:p>
    <w:p>
      <w:pPr>
        <w:pStyle w:val="Normal"/>
        <w:autoSpaceDE w:val="false"/>
        <w:ind w:firstLine="708" w:end="0"/>
        <w:jc w:val="both"/>
        <w:rPr/>
      </w:pPr>
      <w:r>
        <w:rPr>
          <w:rFonts w:cs="TimesNewRoman,Bold;Times New Roman" w:ascii="TimesNewRoman,Bold;Times New Roman" w:hAnsi="TimesNewRoman,Bold;Times New Roman"/>
          <w:sz w:val="20"/>
          <w:szCs w:val="20"/>
        </w:rPr>
        <w:t>При отсутствии контрольно-измерительных приборов, установленных Абонентом на границе эксплуатационной ответственности (балансовой принадлежности), претензии по снижению параметров теплоносителя ЭСО не рассматриваются, перерасчет начислений за тепловую энергию и теплоноситель не производится.</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3.2.6. Заявлять в ЭСО об ошибках, обнаруженных в платежных документах.</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3.2.7. Требовать от ЭСО утвержденный температурный график теплоносителя на выходе из теплоисточника. </w:t>
      </w:r>
    </w:p>
    <w:p>
      <w:pPr>
        <w:pStyle w:val="Normal"/>
        <w:autoSpaceDE w:val="false"/>
        <w:spacing w:before="120" w:after="120"/>
        <w:jc w:val="center"/>
        <w:rPr/>
      </w:pPr>
      <w:r>
        <w:rPr>
          <w:rFonts w:cs="TimesNewRoman,Bold;Times New Roman" w:ascii="TimesNewRoman,Bold;Times New Roman" w:hAnsi="TimesNewRoman,Bold;Times New Roman"/>
          <w:b/>
          <w:bCs/>
          <w:sz w:val="20"/>
          <w:szCs w:val="20"/>
          <w:lang w:val="en-US"/>
        </w:rPr>
        <w:t>I</w:t>
      </w:r>
      <w:r>
        <w:rPr>
          <w:rFonts w:cs="TimesNewRoman,Bold;Times New Roman" w:ascii="TimesNewRoman,Bold;Times New Roman" w:hAnsi="TimesNewRoman,Bold;Times New Roman"/>
          <w:b/>
          <w:bCs/>
          <w:sz w:val="20"/>
          <w:szCs w:val="20"/>
        </w:rPr>
        <w:t xml:space="preserve">V. </w:t>
      </w:r>
      <w:r>
        <w:rPr>
          <w:rFonts w:cs="TimesNewRoman;Times New Roman" w:ascii="TimesNewRoman;Times New Roman" w:hAnsi="TimesNewRoman;Times New Roman"/>
          <w:b/>
          <w:bCs/>
          <w:sz w:val="20"/>
          <w:szCs w:val="20"/>
        </w:rPr>
        <w:t>Порядок расчетов</w:t>
      </w:r>
    </w:p>
    <w:p>
      <w:pPr>
        <w:pStyle w:val="Normal"/>
        <w:autoSpaceDE w:val="false"/>
        <w:ind w:firstLine="708" w:end="0"/>
        <w:jc w:val="both"/>
        <w:rPr/>
      </w:pPr>
      <w:r>
        <w:rPr>
          <w:rFonts w:cs="TimesNewRoman;Times New Roman" w:ascii="TimesNewRoman;Times New Roman" w:hAnsi="TimesNewRoman;Times New Roman"/>
          <w:sz w:val="20"/>
          <w:szCs w:val="20"/>
        </w:rPr>
        <w:t xml:space="preserve">4.1. Расчеты за тепловую энергию, горячую воду и теплоноситель осуществляются Абонентом по тарифам, утвержденным Министерством тарифного регулирования Воронежской области.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Изменение тарифов в период действия контракта не требует его переоформления.</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4.2. С даты введения в действие тарифы становятся обязательными для ЭСО и для Абонента.</w:t>
      </w:r>
    </w:p>
    <w:p>
      <w:pPr>
        <w:pStyle w:val="Normal"/>
        <w:autoSpaceDE w:val="false"/>
        <w:ind w:firstLine="708" w:end="0"/>
        <w:jc w:val="both"/>
        <w:rPr>
          <w:sz w:val="20"/>
          <w:szCs w:val="20"/>
        </w:rPr>
      </w:pPr>
      <w:r>
        <w:rPr>
          <w:sz w:val="20"/>
          <w:szCs w:val="20"/>
        </w:rPr>
        <w:t>4.3. Оплата за тепловую энергию и горячее водоснабжение производится Абонентом ежемесячно, в следующем порядке:</w:t>
      </w:r>
    </w:p>
    <w:p>
      <w:pPr>
        <w:pStyle w:val="Normal"/>
        <w:autoSpaceDE w:val="false"/>
        <w:ind w:firstLine="708" w:end="0"/>
        <w:jc w:val="both"/>
        <w:rPr/>
      </w:pPr>
      <w:r>
        <w:rPr>
          <w:sz w:val="20"/>
          <w:szCs w:val="20"/>
        </w:rPr>
        <w:t xml:space="preserve">- в размере </w:t>
      </w:r>
      <w:r>
        <w:rPr>
          <w:bCs/>
          <w:sz w:val="20"/>
          <w:szCs w:val="20"/>
        </w:rPr>
        <w:t>30 процентов плановой общей стоимости тепловой энергии и (или) горячей воды, потребляемой в месяце, за который осуществляется оплата, в срок до 18-го числа текущего месяца;</w:t>
      </w:r>
    </w:p>
    <w:p>
      <w:pPr>
        <w:pStyle w:val="Normal"/>
        <w:autoSpaceDE w:val="false"/>
        <w:ind w:firstLine="540" w:end="0"/>
        <w:jc w:val="both"/>
        <w:rPr>
          <w:bCs/>
          <w:sz w:val="20"/>
          <w:szCs w:val="20"/>
        </w:rPr>
      </w:pPr>
      <w:r>
        <w:rPr>
          <w:bCs/>
          <w:sz w:val="20"/>
          <w:szCs w:val="20"/>
        </w:rPr>
        <w:t xml:space="preserve">    </w:t>
      </w:r>
      <w:r>
        <w:rPr>
          <w:bCs/>
          <w:sz w:val="20"/>
          <w:szCs w:val="20"/>
        </w:rPr>
        <w:t xml:space="preserve">- оплата за фактически потребленную в истекшем месяце тепловую энергию и (или) горячую воду, с учетом ранее внесенных средств в качестве оплаты за тепловую энергию в расчетном периоде, осуществляется до 15-го числа месяца, следующего за месяцем, за который осуществляется оплата. </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4.4. При оплате Абонентом в соответствии с настоящим контрактом сумм, более чем за принятое количество тепловой энергии, сумма переплаты переходит в счет погашения задолженности по ранее возникшим обязательствам. В случае отсутствия задолженности сумма переплаты засчитывается в оплату следующего периода.</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4.5. Датой оплаты считается дата поступления денежных средств на расчетный счет ЭСО.</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4.6. При осуществлении расчетов по настоящему контракту, Абонент обязан указать в платежных документах основание платежа: номер и дату контракта, назначение и период платежа.</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 xml:space="preserve"> </w:t>
      </w:r>
      <w:r>
        <w:rPr>
          <w:rFonts w:cs="TimesNewRoman,Bold;Times New Roman" w:ascii="TimesNewRoman,Bold;Times New Roman" w:hAnsi="TimesNewRoman,Bold;Times New Roman"/>
          <w:sz w:val="20"/>
          <w:szCs w:val="20"/>
        </w:rPr>
        <w:t>При отсутствии или неясном указании в платежном документе периода платежа, сумма произведенного платежа погашает задолженность Абонента в порядке календарной очередности.</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4.7. При выполнении за Абонента оплаты третьими лицами в платежном документе должна быть ссылка плательщика на Абонента с указанием его полного наименования, номера и даты, заключенного с Абонентом контракта, назначение и период платежа.</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4.8. Цена контракта для оплаты потребленной тепловой энергии составляет____________________________________________________________________________________________</w:t>
      </w:r>
    </w:p>
    <w:p>
      <w:pPr>
        <w:pStyle w:val="Normal"/>
        <w:autoSpaceDE w:val="false"/>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____________________________________________________________________________________________________.</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Цена контракта является твердой и не может изменяться в ходе его исполнения, за исключением случаев, предусмотренных законодательством Российской Федерации.</w:t>
      </w:r>
    </w:p>
    <w:p>
      <w:pPr>
        <w:pStyle w:val="Normal"/>
        <w:autoSpaceDE w:val="false"/>
        <w:ind w:firstLine="708" w:end="0"/>
        <w:jc w:val="both"/>
        <w:rPr/>
      </w:pPr>
      <w:r>
        <w:rPr>
          <w:rFonts w:cs="TimesNewRoman,Bold;Times New Roman" w:ascii="TimesNewRoman,Bold;Times New Roman" w:hAnsi="TimesNewRoman,Bold;Times New Roman"/>
          <w:sz w:val="20"/>
          <w:szCs w:val="20"/>
        </w:rPr>
        <w:t>Идентификатор контракта ____________________________________________________________________ .</w:t>
      </w:r>
    </w:p>
    <w:p>
      <w:pPr>
        <w:pStyle w:val="Normal"/>
        <w:autoSpaceDE w:val="false"/>
        <w:spacing w:before="120" w:after="120"/>
        <w:jc w:val="center"/>
        <w:rPr/>
      </w:pPr>
      <w:r>
        <w:rPr>
          <w:rFonts w:cs="TimesNewRoman,Bold;Times New Roman" w:ascii="TimesNewRoman,Bold;Times New Roman" w:hAnsi="TimesNewRoman,Bold;Times New Roman"/>
          <w:b/>
          <w:bCs/>
          <w:sz w:val="20"/>
          <w:szCs w:val="20"/>
        </w:rPr>
        <w:t xml:space="preserve">V. </w:t>
      </w:r>
      <w:r>
        <w:rPr>
          <w:rFonts w:cs="TimesNewRoman;Times New Roman" w:ascii="TimesNewRoman;Times New Roman" w:hAnsi="TimesNewRoman;Times New Roman"/>
          <w:b/>
          <w:bCs/>
          <w:sz w:val="20"/>
          <w:szCs w:val="20"/>
        </w:rPr>
        <w:t>Учет тепловой энергии</w:t>
      </w:r>
    </w:p>
    <w:p>
      <w:pPr>
        <w:pStyle w:val="Normal"/>
        <w:autoSpaceDE w:val="false"/>
        <w:ind w:firstLine="708" w:end="0"/>
        <w:jc w:val="both"/>
        <w:rPr/>
      </w:pPr>
      <w:r>
        <w:rPr>
          <w:rFonts w:cs="TimesNewRoman;Times New Roman" w:ascii="TimesNewRoman;Times New Roman" w:hAnsi="TimesNewRoman;Times New Roman"/>
          <w:sz w:val="20"/>
          <w:szCs w:val="20"/>
        </w:rPr>
        <w:t xml:space="preserve">5.1. </w:t>
      </w:r>
      <w:r>
        <w:rPr>
          <w:sz w:val="20"/>
          <w:szCs w:val="20"/>
        </w:rPr>
        <w:t xml:space="preserve">Объем отпущенной тепловой энергии осуществляется по показаниям приборов учета, установленных у «Абонента» и допущенных в эксплуатацию представителем ЭСО согласно «Правил коммерческого учета тепловой энергии, теплоносителя», утвержденных Постановлением Правительства РФ № 1034 от 18.11.2013г.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Объем тепловой энергии и горячей воды, отпущенной в нежилое встроенное помещение определяется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№354.</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5.2. Допускаемая относительная погрешность измерения расхода и массы теплоносителя не должна превышать +/-2% (или +/-5%, если для измерения расхода теплоносителя применяются расходомеры переменного перепада давления).</w:t>
      </w:r>
    </w:p>
    <w:p>
      <w:pPr>
        <w:pStyle w:val="Normal"/>
        <w:autoSpaceDE w:val="false"/>
        <w:ind w:firstLine="708" w:end="0"/>
        <w:jc w:val="both"/>
        <w:rPr/>
      </w:pPr>
      <w:r>
        <w:rPr>
          <w:rFonts w:cs="TimesNewRoman;Times New Roman" w:ascii="TimesNewRoman;Times New Roman" w:hAnsi="TimesNewRoman;Times New Roman"/>
          <w:sz w:val="20"/>
          <w:szCs w:val="20"/>
        </w:rPr>
        <w:t xml:space="preserve">5.3. При отсутствии приборов учета количество тепловой энергии, потребляемой «Абонентом», рассчитывается «ЭСО» ежемесячно в соответствии с приказом от 17.03.2014г. №99/пр «Об утверждении методики осуществления коммерческого учета тепловой энергии, теплоносителя», с учетом фактических температур наружного воздуха, а также с учетом нормативной величины тепловых потерь и теплоносителя на участке сетей от границы раздела (Приложение №2) до объектов теплопотребления «Абонента» (приложение №1). </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Расчет нормативной величины тепловых потерь производится ежемесячно в соответствии с фактической температурой наружного воздуха, грунта, а также в соответствии с утвержденным, для каждого источника теплоснабжения, температурным графиком теплоносителя.</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ab/>
        <w:t>5.4. Абонент не вправе самовольно отказаться от приборного учета после его допуска ЭСО в эксплуатацию.</w:t>
      </w:r>
    </w:p>
    <w:p>
      <w:pPr>
        <w:pStyle w:val="Normal"/>
        <w:autoSpaceDE w:val="false"/>
        <w:ind w:firstLine="540" w:end="0"/>
        <w:jc w:val="both"/>
        <w:rPr/>
      </w:pPr>
      <w:r>
        <w:rPr>
          <w:rFonts w:cs="TimesNewRoman;Times New Roman" w:ascii="TimesNewRoman;Times New Roman" w:hAnsi="TimesNewRoman;Times New Roman"/>
          <w:sz w:val="20"/>
          <w:szCs w:val="20"/>
        </w:rPr>
        <w:t xml:space="preserve">   </w:t>
      </w:r>
      <w:r>
        <w:rPr>
          <w:rFonts w:cs="TimesNewRoman;Times New Roman" w:ascii="TimesNewRoman;Times New Roman" w:hAnsi="TimesNewRoman;Times New Roman"/>
          <w:sz w:val="20"/>
          <w:szCs w:val="20"/>
        </w:rPr>
        <w:t>5.5. В срок, не позднее 24 числа текущего месяца, «Абонент» или уполномоченное им лицо передает «ЭСО» заверенные акты снятия показаний прибора учета по форме установленной приложением №3 к настоящему договору и отчеты о теплопотреблении на бумажном носителе в 2х экземплярах по форме, размещенной в руководстве по эксплуатации прибора учета. По договоренности возможна передача заверенных актов и отчетов в электронном виде (на электронную почту «ЭСО»), с последующим (в течении 3 рабочих дней) предоставлением оригиналов.</w:t>
      </w:r>
    </w:p>
    <w:p>
      <w:pPr>
        <w:pStyle w:val="Normal"/>
        <w:autoSpaceDE w:val="false"/>
        <w:ind w:firstLine="540" w:end="0"/>
        <w:jc w:val="both"/>
        <w:rPr/>
      </w:pPr>
      <w:r>
        <w:rPr>
          <w:rFonts w:cs="TimesNewRoman;Times New Roman" w:ascii="TimesNewRoman;Times New Roman" w:hAnsi="TimesNewRoman;Times New Roman"/>
          <w:sz w:val="20"/>
          <w:szCs w:val="20"/>
        </w:rPr>
        <w:t xml:space="preserve">5.5.1. В целях проверки достоверности данных показаний приборов учета «Абонент» ежемесячно предоставляет подтвержденную информацию, в т.ч. в виде электронного документа, распечаток архива тепловычислителей (ведомостей узла параметров теплопотребления), созданных в соответствии с инструкцией изготовителя приборов учета  посредством  электронной почты borisoglebskteplo@govvrn.ru</w:t>
      </w:r>
      <w:r>
        <w:rPr>
          <w:rFonts w:cs="TimesNewRoman;Times New Roman" w:ascii="TimesNewRoman;Times New Roman" w:hAnsi="TimesNewRoman;Times New Roman"/>
          <w:color w:val="FF0000"/>
          <w:sz w:val="20"/>
          <w:szCs w:val="20"/>
        </w:rPr>
        <w:t>.</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В случае не предоставления «Абонентом» ежемесячных показаний приборов учета, «ЭСО» имеет право в одностороннем порядке самостоятельно произвести прямое или дистанционное считывание информации приборов учета и использовать полученные данные для оформления платежных документов, при этом «Абонент» предоставляет беспрепятственный доступ представителям «ЭСО» к приборам учета по первому требованию.</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5.6. В случае если имеются основания сомневаться в достоверности показаний приборов учета, любая сторона договора вправе инициировать проверку функционирования узла учета. Результаты проверки функционирования узла учета оформляются актом.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При возникновении разногласий между сторонами договора по корректности показаний узла учета «Абонент» узла учета по требованию «ЭСО» в течение 15 дней со дня обращения организует внеочередную поверку приборов учета, входящих в состав узла учета, с участием представителя «ЭСО» и «Абонента».</w:t>
      </w:r>
    </w:p>
    <w:p>
      <w:pPr>
        <w:pStyle w:val="Normal"/>
        <w:autoSpaceDE w:val="false"/>
        <w:ind w:firstLine="708" w:end="0"/>
        <w:jc w:val="both"/>
        <w:rPr/>
      </w:pPr>
      <w:r>
        <w:rPr>
          <w:rFonts w:cs="TimesNewRoman;Times New Roman" w:ascii="TimesNewRoman;Times New Roman" w:hAnsi="TimesNewRoman;Times New Roman"/>
          <w:sz w:val="20"/>
          <w:szCs w:val="20"/>
        </w:rPr>
        <w:t>5.7. При выходе узла учета из строя или выявлении каких-либо нарушений в функционировании средств измерений Абонент обязан в течение суток известить об этом факте ЭСО, указав при этом характер выявленной неисправности, дату и время ее возникновения. В случае несвоевременного сообщения, ЭСО имеет право произвести расчет количества потребленной Абонентом тепловой энергии в соответствии с п.5.3 настоящего контракта.</w:t>
      </w:r>
    </w:p>
    <w:p>
      <w:pPr>
        <w:pStyle w:val="Normal"/>
        <w:autoSpaceDE w:val="false"/>
        <w:ind w:firstLine="708" w:end="0"/>
        <w:jc w:val="both"/>
        <w:rPr/>
      </w:pPr>
      <w:r>
        <w:rPr>
          <w:rFonts w:cs="TimesNewRoman;Times New Roman" w:ascii="TimesNewRoman;Times New Roman" w:hAnsi="TimesNewRoman;Times New Roman"/>
          <w:sz w:val="20"/>
          <w:szCs w:val="20"/>
        </w:rPr>
        <w:t>5.8. ЭСО имеет право отказать Абоненту в приеме акта снятия данных с прибора учета тепловой энергии (Приложение №3) и произвести расчет в соответствии с п.5.3 настоящего контракта в следующих случаях:</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узел учета Абонента не был допущен в эксплуатацию ЭСО, в том числе из-за нарушений в организации учета потребления тепловой энергии и теплоносителя;</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Абонент в установленный срок не исполнил предписания ЭСО или Ростехнадзора по устранению недостатков в организации и ведении учета;</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при выявлении представителем ЭСО нарушении целостности пломб на приборах или другом оборудовании узла учета, ранее установленных ЭСО;</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учет теплопотребления осуществляется с применением в составе узла учета средства измерения с истекшим сроком действия поверки;</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акт снятия данных с прибора учета тепловой энергии (Приложение №3) не соответствует установленной форме или поступил в ЭСО позже согласованного срока;</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при неисполнении Абонентом установленных требований к определению (расчету) массы теплоносителя и тепловой энергии;</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в представленном Абонентом Акте снятия данных с приборов учета (Приложение №3) содержатся недостоверные данные, свидетельствующие о неисправности приборов учета в истекшем расчетном периоде, о которой не было своевременно сообщено в ЭСО.</w:t>
      </w:r>
    </w:p>
    <w:p>
      <w:pPr>
        <w:pStyle w:val="Normal"/>
        <w:numPr>
          <w:ilvl w:val="0"/>
          <w:numId w:val="3"/>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при несоответствии фактического диапазона измеряемых параметров диапазонам измерений установленных приборов учета.</w:t>
      </w:r>
    </w:p>
    <w:p>
      <w:pPr>
        <w:pStyle w:val="Normal"/>
        <w:autoSpaceDE w:val="false"/>
        <w:ind w:firstLine="709" w:end="0"/>
        <w:jc w:val="both"/>
        <w:rPr/>
      </w:pPr>
      <w:r>
        <w:rPr>
          <w:rFonts w:cs="TimesNewRoman;Times New Roman" w:ascii="TimesNewRoman;Times New Roman" w:hAnsi="TimesNewRoman;Times New Roman"/>
          <w:sz w:val="20"/>
          <w:szCs w:val="20"/>
        </w:rPr>
        <w:t>5.9. При неисправности приборов учета, истечении срока их поверки, включая вывод из работы для ремонта или поверки на срок до 15 суток, в качестве базового показателя для расчета тепловой энергии, теплоносителя принимается среднесуточное количество тепловой энергии, теплоносителя, определенное по приборам учета за время штатной работы в отчетный период, приведенное к расчетной температуре наружного воздуха.</w:t>
      </w:r>
    </w:p>
    <w:p>
      <w:pPr>
        <w:pStyle w:val="Normal"/>
        <w:autoSpaceDE w:val="false"/>
        <w:ind w:firstLine="708" w:end="0"/>
        <w:jc w:val="both"/>
        <w:rPr/>
      </w:pPr>
      <w:r>
        <w:rPr>
          <w:rFonts w:cs="TimesNewRoman;Times New Roman" w:ascii="TimesNewRoman;Times New Roman" w:hAnsi="TimesNewRoman;Times New Roman"/>
          <w:sz w:val="20"/>
          <w:szCs w:val="20"/>
        </w:rPr>
        <w:t xml:space="preserve">5.10. При отсутствии у Абонента приборов учета, а также их неисправности свыше 15-ти суток в течение года (с момента допуска узла учета в эксплуатацию), расчет количества потребляемой тепловой энергии производится в соответствии с п.5.3. настоящего контракта. </w:t>
      </w:r>
    </w:p>
    <w:p>
      <w:pPr>
        <w:pStyle w:val="Normal"/>
        <w:autoSpaceDE w:val="false"/>
        <w:ind w:firstLine="708" w:end="0"/>
        <w:jc w:val="both"/>
        <w:rPr>
          <w:sz w:val="20"/>
          <w:szCs w:val="20"/>
          <w:lang w:eastAsia="en-US"/>
        </w:rPr>
      </w:pPr>
      <w:r>
        <w:rPr>
          <w:sz w:val="20"/>
          <w:szCs w:val="20"/>
          <w:lang w:eastAsia="en-US"/>
        </w:rPr>
        <w:t>Количество тепловой энергии, теплоносителя, расходуемых на горячее водоснабжение, при наличии отдельного учета и временной неисправности приборов (до 30 дней) рассчитывается по фактическому расходу, определенному по приборам учета за предыдущий период.</w:t>
      </w:r>
    </w:p>
    <w:p>
      <w:pPr>
        <w:pStyle w:val="Normal"/>
        <w:autoSpaceDE w:val="false"/>
        <w:ind w:firstLine="708" w:end="0"/>
        <w:jc w:val="both"/>
        <w:rPr>
          <w:sz w:val="20"/>
          <w:szCs w:val="20"/>
        </w:rPr>
      </w:pPr>
      <w:r>
        <w:rPr>
          <w:sz w:val="20"/>
          <w:szCs w:val="20"/>
        </w:rPr>
        <w:t>В случае отсутствия отдельного учета или нерабочего состояния приборов более 30 дней количество тепловой энергии, теплоносителя, расходуемых на горячее водоснабжение, принимается равным значениям, установленным в контракте теплоснабжения.</w:t>
      </w:r>
    </w:p>
    <w:p>
      <w:pPr>
        <w:pStyle w:val="Normal"/>
        <w:autoSpaceDE w:val="false"/>
        <w:ind w:firstLine="708" w:end="0"/>
        <w:jc w:val="both"/>
        <w:rPr/>
      </w:pPr>
      <w:r>
        <w:rPr>
          <w:rFonts w:cs="TimesNewRoman;Times New Roman" w:ascii="TimesNewRoman;Times New Roman" w:hAnsi="TimesNewRoman;Times New Roman"/>
          <w:sz w:val="20"/>
          <w:szCs w:val="20"/>
        </w:rPr>
        <w:t>5.11. При выявлении ЭСО неисправных приборов учета, находящихся в эксплуатации, отсутствующих (поврежденных) пломб или поверительных клейм, фактов несанкционированного вмешательства в работу приборов или иных нарушений в функционировании узла учета, послуживших причиной искажения результатов измерений, ЭСО вправе выполнить перерасчет отпущенной тепловой энергии Абоненту за период времени, истекший с момента предыдущей проверки ЭСО, в соответствии с п. 5.3. настоящего контракта.</w:t>
      </w:r>
    </w:p>
    <w:p>
      <w:pPr>
        <w:pStyle w:val="Normal"/>
        <w:autoSpaceDE w:val="false"/>
        <w:ind w:firstLine="708" w:end="0"/>
        <w:jc w:val="both"/>
        <w:rPr/>
      </w:pPr>
      <w:r>
        <w:rPr>
          <w:rFonts w:cs="TimesNewRoman,Bold;Times New Roman" w:ascii="TimesNewRoman,Bold;Times New Roman" w:hAnsi="TimesNewRoman,Bold;Times New Roman"/>
          <w:sz w:val="20"/>
          <w:szCs w:val="20"/>
        </w:rPr>
        <w:t>5.12. При установке приборов учета не на границе эксплуатационной ответственности (балансовой принадлежности) расчет производится с учетом потерь в тепловых сетях Абонента от границы раздела до места установки узла учета. Потери в сетях Абонента входят в объем потребления Абонента и оплачиваются в соответствии с контрактом (Приложение №1).</w:t>
      </w:r>
    </w:p>
    <w:p>
      <w:pPr>
        <w:pStyle w:val="Normal"/>
        <w:autoSpaceDE w:val="false"/>
        <w:ind w:firstLine="708" w:end="0"/>
        <w:jc w:val="both"/>
        <w:rPr/>
      </w:pPr>
      <w:r>
        <w:rPr>
          <w:rFonts w:cs="TimesNewRoman,Bold;Times New Roman" w:ascii="TimesNewRoman,Bold;Times New Roman" w:hAnsi="TimesNewRoman,Bold;Times New Roman"/>
          <w:sz w:val="20"/>
          <w:szCs w:val="20"/>
        </w:rPr>
        <w:t>5.13. При наличии у Абонента субабонентов, последние производят расчеты с учетом присоединенной тепловой нагрузки с Абонентом.</w:t>
      </w:r>
    </w:p>
    <w:p>
      <w:pPr>
        <w:pStyle w:val="Normal"/>
        <w:autoSpaceDE w:val="false"/>
        <w:ind w:firstLine="708" w:end="0"/>
        <w:jc w:val="both"/>
        <w:rPr/>
      </w:pPr>
      <w:r>
        <w:rPr>
          <w:rFonts w:cs="TimesNewRoman,Bold;Times New Roman" w:ascii="TimesNewRoman,Bold;Times New Roman" w:hAnsi="TimesNewRoman,Bold;Times New Roman"/>
          <w:sz w:val="20"/>
          <w:szCs w:val="20"/>
        </w:rPr>
        <w:t>5.14. В случае выявления в процессе эксплуатации приборов учета внешних факторов, влияющих на показания приборов учета, ЭСО вправе потребовать от Абонента устранение влияния этих факторов. При этом с момента выявления воздействия до момента допуска в эксплуатацию узла учета после устранения воздействующих факторов, расчет за полученную тепловую энергию ведется согласно п.5.3. настоящего контракта.</w:t>
      </w:r>
    </w:p>
    <w:p>
      <w:pPr>
        <w:pStyle w:val="Normal"/>
        <w:autoSpaceDE w:val="false"/>
        <w:ind w:firstLine="708" w:end="0"/>
        <w:jc w:val="both"/>
        <w:rPr/>
      </w:pPr>
      <w:r>
        <w:rPr>
          <w:bCs/>
          <w:sz w:val="20"/>
          <w:szCs w:val="20"/>
        </w:rPr>
        <w:t>5.15.</w:t>
      </w:r>
      <w:r>
        <w:rPr>
          <w:rFonts w:cs="TimesNewRoman,Bold;Times New Roman" w:ascii="TimesNewRoman,Bold;Times New Roman" w:hAnsi="TimesNewRoman,Bold;Times New Roman"/>
          <w:bCs/>
          <w:sz w:val="20"/>
          <w:szCs w:val="20"/>
        </w:rPr>
        <w:t xml:space="preserve"> Допуск в эксплуатацию (первичный и повторный) узла учета тепловой энергии у Абонента </w:t>
      </w:r>
      <w:r>
        <w:rPr>
          <w:bCs/>
          <w:sz w:val="20"/>
          <w:szCs w:val="20"/>
        </w:rPr>
        <w:t>осуществляется представителем ЭСО и Абонента, на основании письменного заявления Абонента.</w:t>
      </w:r>
    </w:p>
    <w:p>
      <w:pPr>
        <w:pStyle w:val="Normal"/>
        <w:autoSpaceDE w:val="false"/>
        <w:ind w:firstLine="708" w:end="0"/>
        <w:jc w:val="both"/>
        <w:rPr/>
      </w:pPr>
      <w:r>
        <w:rPr>
          <w:rFonts w:cs="TimesNewRoman,Bold;Times New Roman" w:ascii="TimesNewRoman,Bold;Times New Roman" w:hAnsi="TimesNewRoman,Bold;Times New Roman"/>
          <w:sz w:val="20"/>
          <w:szCs w:val="20"/>
        </w:rPr>
        <w:t>5.16. Допуск приборов учета в работу осуществляется только при условиях, полностью соответствующих эксплуатационным, т.е. позволяющим оценить работоспособность узла учета, а именно: наличие расхода теплоносителя, электроэнергии, надлежащего освещения, позволяющего произвести осмотр монтажа и соединительных линий и т.п. При невыполнении этих условий допуск приборов учета в эксплуатацию не производится, о чем делается соответствующая отметка в акте.</w:t>
      </w:r>
    </w:p>
    <w:p>
      <w:pPr>
        <w:pStyle w:val="Normal"/>
        <w:autoSpaceDE w:val="false"/>
        <w:ind w:firstLine="708" w:end="0"/>
        <w:jc w:val="both"/>
        <w:rPr/>
      </w:pPr>
      <w:r>
        <w:rPr>
          <w:rFonts w:cs="TimesNewRoman,Bold;Times New Roman" w:ascii="TimesNewRoman,Bold;Times New Roman" w:hAnsi="TimesNewRoman,Bold;Times New Roman"/>
          <w:sz w:val="20"/>
          <w:szCs w:val="20"/>
        </w:rPr>
        <w:t>5.17. При отказе в допуске узла учета в работу по вине Абонента следующее прибытие представителя ЭСО для осуществления допуска происходит после повторного вызова в установленном порядке, в соответствии с п.5.15. настоящего контракта.</w:t>
      </w:r>
    </w:p>
    <w:p>
      <w:pPr>
        <w:pStyle w:val="Normal"/>
        <w:autoSpaceDE w:val="false"/>
        <w:ind w:firstLine="708" w:end="0"/>
        <w:jc w:val="both"/>
        <w:rPr/>
      </w:pPr>
      <w:r>
        <w:rPr>
          <w:rFonts w:cs="TimesNewRoman,Bold;Times New Roman" w:ascii="TimesNewRoman,Bold;Times New Roman" w:hAnsi="TimesNewRoman,Bold;Times New Roman"/>
          <w:sz w:val="20"/>
          <w:szCs w:val="20"/>
        </w:rPr>
        <w:t>5.18. В случае превышения Абонентом более чем на 3% температуры сетевой воды, возвращаемой в тепловую сеть ЭСО, и поддержания ею температуры в подающем трубопроводе в соответствии с температурным графиком (+/- 3%), определение количества тепловой энергии производится по температурному графику.</w:t>
      </w:r>
    </w:p>
    <w:p>
      <w:pPr>
        <w:pStyle w:val="Normal"/>
        <w:autoSpaceDE w:val="false"/>
        <w:spacing w:before="120" w:after="120"/>
        <w:jc w:val="center"/>
        <w:rPr/>
      </w:pPr>
      <w:r>
        <w:rPr>
          <w:rFonts w:cs="TimesNewRoman,Bold;Times New Roman" w:ascii="TimesNewRoman,Bold;Times New Roman" w:hAnsi="TimesNewRoman,Bold;Times New Roman"/>
          <w:b/>
          <w:bCs/>
          <w:sz w:val="20"/>
          <w:szCs w:val="20"/>
        </w:rPr>
        <w:t xml:space="preserve">VI. </w:t>
      </w:r>
      <w:r>
        <w:rPr>
          <w:rFonts w:cs="TimesNewRoman;Times New Roman" w:ascii="TimesNewRoman;Times New Roman" w:hAnsi="TimesNewRoman;Times New Roman"/>
          <w:b/>
          <w:bCs/>
          <w:sz w:val="20"/>
          <w:szCs w:val="20"/>
        </w:rPr>
        <w:t>Порядок ограничения</w:t>
      </w:r>
      <w:r>
        <w:rPr>
          <w:rFonts w:cs="TimesNewRoman,Bold;Times New Roman" w:ascii="TimesNewRoman,Bold;Times New Roman" w:hAnsi="TimesNewRoman,Bold;Times New Roman"/>
          <w:b/>
          <w:bCs/>
          <w:sz w:val="20"/>
          <w:szCs w:val="20"/>
        </w:rPr>
        <w:t xml:space="preserve"> </w:t>
      </w:r>
      <w:r>
        <w:rPr>
          <w:rFonts w:cs="TimesNewRoman;Times New Roman" w:ascii="TimesNewRoman;Times New Roman" w:hAnsi="TimesNewRoman;Times New Roman"/>
          <w:b/>
          <w:bCs/>
          <w:sz w:val="20"/>
          <w:szCs w:val="20"/>
        </w:rPr>
        <w:t>подачи энергии</w:t>
      </w:r>
    </w:p>
    <w:p>
      <w:pPr>
        <w:pStyle w:val="Normal"/>
        <w:autoSpaceDE w:val="false"/>
        <w:ind w:firstLine="708" w:end="0"/>
        <w:jc w:val="both"/>
        <w:rPr/>
      </w:pPr>
      <w:r>
        <w:rPr>
          <w:rFonts w:cs="TimesNewRoman;Times New Roman" w:ascii="TimesNewRoman;Times New Roman" w:hAnsi="TimesNewRoman;Times New Roman"/>
          <w:sz w:val="20"/>
          <w:szCs w:val="20"/>
        </w:rPr>
        <w:t xml:space="preserve">6.1. </w:t>
      </w:r>
      <w:r>
        <w:rPr>
          <w:sz w:val="20"/>
          <w:szCs w:val="20"/>
        </w:rPr>
        <w:t xml:space="preserve">Порядок ограничения и прекращения подачи тепловой энергии регулируется нормами действующего законодательства (Разделом </w:t>
      </w:r>
      <w:r>
        <w:rPr>
          <w:sz w:val="20"/>
          <w:szCs w:val="20"/>
          <w:lang w:val="en-US"/>
        </w:rPr>
        <w:t>VI</w:t>
      </w:r>
      <w:r>
        <w:rPr>
          <w:sz w:val="20"/>
          <w:szCs w:val="20"/>
        </w:rPr>
        <w:t xml:space="preserve"> Постановления Правительства РФ от 08.08.2012 №808: «Порядок ограничения и прекращения подачи тепловой энергии потребителям.</w:t>
      </w:r>
    </w:p>
    <w:p>
      <w:pPr>
        <w:pStyle w:val="Normal"/>
        <w:autoSpaceDE w:val="false"/>
        <w:spacing w:before="120" w:after="120"/>
        <w:jc w:val="center"/>
        <w:rPr/>
      </w:pPr>
      <w:r>
        <w:rPr>
          <w:rFonts w:cs="TimesNewRoman,Bold;Times New Roman" w:ascii="TimesNewRoman,Bold;Times New Roman" w:hAnsi="TimesNewRoman,Bold;Times New Roman"/>
          <w:b/>
          <w:bCs/>
          <w:sz w:val="20"/>
          <w:szCs w:val="20"/>
        </w:rPr>
        <w:t xml:space="preserve">VII. </w:t>
      </w:r>
      <w:r>
        <w:rPr>
          <w:rFonts w:cs="TimesNewRoman;Times New Roman" w:ascii="TimesNewRoman;Times New Roman" w:hAnsi="TimesNewRoman;Times New Roman"/>
          <w:b/>
          <w:bCs/>
          <w:sz w:val="20"/>
          <w:szCs w:val="20"/>
        </w:rPr>
        <w:t>Ответственность сторон</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7.1. В случае просрочки исполнения Абонентом обязательств, предусмотренных контрактом, а также в иных случаях неисполнения или ненадлежащего исполнения Абонентом обязательств, предусмотренных контрактом, ЭСО вправе потребовать уплаты неустоек (штрафов, пеней). </w:t>
      </w:r>
    </w:p>
    <w:p>
      <w:pPr>
        <w:pStyle w:val="Normal"/>
        <w:autoSpaceDE w:val="false"/>
        <w:ind w:firstLine="540" w:end="0"/>
        <w:jc w:val="both"/>
        <w:rPr/>
      </w:pPr>
      <w:r>
        <w:rPr>
          <w:rFonts w:cs="TimesNewRoman;Times New Roman" w:ascii="TimesNewRoman;Times New Roman" w:hAnsi="TimesNewRoman;Times New Roman"/>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autoSpaceDE w:val="false"/>
        <w:ind w:firstLine="540" w:end="0"/>
        <w:jc w:val="both"/>
        <w:rPr/>
      </w:pPr>
      <w:r>
        <w:rPr>
          <w:rFonts w:cs="TimesNewRoman;Times New Roman" w:ascii="TimesNewRoman;Times New Roman" w:hAnsi="TimesNewRoman;Times New Roman"/>
          <w:sz w:val="20"/>
          <w:szCs w:val="20"/>
        </w:rPr>
        <w:t>Штрафы начисляются за ненадлежащее исполнение Абонентом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Абонентом обязательств, предусмотренных контрактом, Абонент уплачивает штраф в размере __________________________________________________________________________________________руб.______коп., (п. 5 ст. 34 Федерального закона РФ от 05.04.2013 г. № ФЗ-44 «О контрактной системе в сфере закупок товаров, работ, услуг для обеспечения государственных и муниципальных нужд» и Постановление Правительства РФ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p>
      <w:pPr>
        <w:pStyle w:val="ConsPlusNormal"/>
        <w:ind w:firstLine="540" w:end="0"/>
        <w:jc w:val="both"/>
        <w:rPr>
          <w:rFonts w:ascii="TimesNewRoman;Times New Roman" w:hAnsi="TimesNewRoman;Times New Roman" w:cs="Times New Roman"/>
          <w:sz w:val="20"/>
          <w:szCs w:val="20"/>
          <w:lang w:eastAsia="ru-RU"/>
        </w:rPr>
      </w:pPr>
      <w:r>
        <w:rPr>
          <w:rFonts w:cs="Times New Roman" w:ascii="TimesNewRoman;Times New Roman" w:hAnsi="TimesNewRoman;Times New Roman"/>
          <w:sz w:val="20"/>
          <w:szCs w:val="20"/>
          <w:lang w:eastAsia="ru-RU"/>
        </w:rPr>
        <w:t>Абонент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(п. 9 ст. 34 Федерального закона РФ от 05.04.2013 г. № ФЗ-44 «О контрактной системе в сфере закупок товаров, работ, услуг для обеспечения государственных и муниципальных нужд».</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7.2. В случае не выполнения ЭСО обязательства, предусмотренного контрактом, а также в иных случаях неисполнения или ненадлежащего исполнения ЭСО обязательств, предусмотренных контрактом, Абонент направляет ЭСО требование об уплате неустоек (штрафов, пеней). </w:t>
      </w:r>
    </w:p>
    <w:p>
      <w:pPr>
        <w:pStyle w:val="Normal"/>
        <w:autoSpaceDE w:val="false"/>
        <w:ind w:firstLine="540" w:end="0"/>
        <w:jc w:val="both"/>
        <w:rPr/>
      </w:pPr>
      <w:r>
        <w:rPr>
          <w:rFonts w:cs="TimesNewRoman;Times New Roman" w:ascii="TimesNewRoman;Times New Roman" w:hAnsi="TimesNewRoman;Times New Roman"/>
          <w:sz w:val="20"/>
          <w:szCs w:val="20"/>
        </w:rPr>
        <w:t>Пеня начисляется за каждый день просрочки исполнения ЭСО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ЭСО.</w:t>
      </w:r>
    </w:p>
    <w:p>
      <w:pPr>
        <w:pStyle w:val="Normal"/>
        <w:autoSpaceDE w:val="false"/>
        <w:ind w:firstLine="540" w:end="0"/>
        <w:jc w:val="both"/>
        <w:rPr/>
      </w:pPr>
      <w:r>
        <w:rPr>
          <w:rFonts w:cs="TimesNewRoman;Times New Roman" w:ascii="TimesNewRoman;Times New Roman" w:hAnsi="TimesNewRoman;Times New Roman"/>
          <w:sz w:val="20"/>
          <w:szCs w:val="20"/>
        </w:rPr>
        <w:t>Штрафы начисляются за неисполнение или ненадлежащее исполнение ЭСО обязательств, предусмотренных контрактом, за исключением просрочки исполнения ЭСО обязательств, предусмотренных контрактом. За каждый факт неисполнения или ненадлежащего исполнения ЭСО обязательств, предусмотренных контрактом, ЭСО уплачивает штраф в размере ____________________________________________________________________________</w:t>
      </w:r>
    </w:p>
    <w:p>
      <w:pPr>
        <w:pStyle w:val="Normal"/>
        <w:autoSpaceDE w:val="false"/>
        <w:jc w:val="both"/>
        <w:rPr/>
      </w:pPr>
      <w:r>
        <w:rPr>
          <w:rFonts w:cs="TimesNewRoman;Times New Roman" w:ascii="TimesNewRoman;Times New Roman" w:hAnsi="TimesNewRoman;Times New Roman"/>
          <w:sz w:val="20"/>
          <w:szCs w:val="20"/>
        </w:rPr>
        <w:t xml:space="preserve">________________________________руб._______коп. установленный в соответствии с Правилами, утвержденными постановлением Правительства Российской Федерации от 30 августа 2017 №1042 в следующем порядке: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а) 10 процентов цены контракта (этапа) в случае, если цена контракта (этапа) не превышает 3 млн. рублей;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б) 5 процентов цены контракта (этапа) в случае, если цена контракта (этапа) составляет от 3 млн. рублей до 50 млн. рублей (включительно);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в) 1 процент цены контракта (этапа) в случае, если цена контракта (этапа) составляет от 50 млн. рублей до 100 млн. рублей (включительно);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г) 0,5 процента цены контракта (этапа) в случае, если цена контракта (этапа) составляет от 100 млн. рублей до 500 млн. рублей (включительно);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д) 0,4 процента цены контракта (этапа) в случае, если цена контракта (этапа) составляет от 500 млн. рублей до 1 млрд. рублей (включительно);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е) 0,3 процента цены контракта (этапа) в случае, если цена контракта (этапа) составляет от 1 млрд. рублей до 2 млрд. рублей (включительно);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ж) 0,25 процента цены контракта (этапа) в случае, если цена контракта (этапа) составляет от 2 млрд. рублей до 5 млрд. рублей (включительно); </w:t>
      </w:r>
    </w:p>
    <w:p>
      <w:pPr>
        <w:pStyle w:val="Normal"/>
        <w:autoSpaceDE w:val="false"/>
        <w:ind w:firstLine="540"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 xml:space="preserve">з) 0,2 процента цены контракта (этапа) в случае, если цена контракта (этапа) составляет от 5 млрд. рублей до 10 млрд. рублей (включительно); </w:t>
      </w:r>
    </w:p>
    <w:p>
      <w:pPr>
        <w:pStyle w:val="Normal"/>
        <w:autoSpaceDE w:val="false"/>
        <w:ind w:firstLine="540" w:end="0"/>
        <w:jc w:val="both"/>
        <w:rPr/>
      </w:pPr>
      <w:r>
        <w:rPr>
          <w:rFonts w:cs="TimesNewRoman;Times New Roman" w:ascii="TimesNewRoman;Times New Roman" w:hAnsi="TimesNewRoman;Times New Roman"/>
          <w:sz w:val="20"/>
          <w:szCs w:val="20"/>
        </w:rPr>
        <w:t>и) 0,1 процента цены контракта (этапа) в случае, если цена контракта (этапа) превышает 10 млрд. рублей. Энергоснабжающая организация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(п. 9 ст. 34 Федерального закона РФ от 05.04.2013 г. № ФЗ-44 «О контрактной системе в сфере закупок товаров, работ, услуг для обеспечения государственных и муниципальных нужд»).</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7.3. ЭСО не несет имущественной ответственности перед потребителями за недоотпуск энергии, вызванный:</w:t>
      </w:r>
    </w:p>
    <w:p>
      <w:pPr>
        <w:pStyle w:val="Normal"/>
        <w:numPr>
          <w:ilvl w:val="0"/>
          <w:numId w:val="2"/>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неправильными действиями персонала Абонента и его потребителя (ей) или посторонних лиц (ошибочное включение, отключение или переключение, механическое повреждение и т.п.);</w:t>
      </w:r>
    </w:p>
    <w:p>
      <w:pPr>
        <w:pStyle w:val="Normal"/>
        <w:numPr>
          <w:ilvl w:val="0"/>
          <w:numId w:val="2"/>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условиями ограничения подачи тепловой энергии потребителям, предусмотренными п.6.1;</w:t>
      </w:r>
    </w:p>
    <w:p>
      <w:pPr>
        <w:pStyle w:val="Normal"/>
        <w:numPr>
          <w:ilvl w:val="0"/>
          <w:numId w:val="2"/>
        </w:numPr>
        <w:autoSpaceDE w:val="false"/>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форс-мажорными обстоятельствами;</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7.4. Если в результате действий Абонента, а также аварий в энергоустановках потребителя по вине Абонента имел место недоотпуск энергии другим абонентам ЭСО, либо причинен ущерб ЭСО, ответственность по возмещению причиненных убытков возлагается на Абонента.</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7.5. В случае введения ограничения подачи энергии Абоненту за неуплату или по иным основаниям, предусмотренным нормативными актами, контрактом, ЭСО не несет ответственности за последствия, вызванные таким ограничением.</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7.6. Сторона, не исполнившая или ненадлежащим образом исполнившая обязательство по настоящему контракту, несет ответственность в соответствии с контрактом и действующим законодательством РФ.</w:t>
      </w:r>
    </w:p>
    <w:p>
      <w:pPr>
        <w:pStyle w:val="Normal"/>
        <w:autoSpaceDE w:val="false"/>
        <w:ind w:firstLine="708" w:end="0"/>
        <w:jc w:val="both"/>
        <w:rPr>
          <w:rFonts w:ascii="TimesNewRoman;Times New Roman" w:hAnsi="TimesNewRoman;Times New Roman" w:cs="TimesNewRoman;Times New Roman"/>
          <w:sz w:val="20"/>
          <w:szCs w:val="20"/>
        </w:rPr>
      </w:pPr>
      <w:r>
        <w:rPr>
          <w:rFonts w:cs="TimesNewRoman;Times New Roman" w:ascii="TimesNewRoman;Times New Roman" w:hAnsi="TimesNewRoman;Times New Roman"/>
          <w:sz w:val="20"/>
          <w:szCs w:val="20"/>
        </w:rPr>
        <w:t>7.7. ЭСО несет ответственность за подачу энергии Абоненту до границы эксплуатационной ответственности (балансовой принадлежности) (Приложение №2).</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7.8. Все споры по настоящему контракту разрешаются в Арбитражном суде Воронежской области в соответствии с действующим законодательством Российской Федерации.</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7.9. В случае немотивированного отказа Абонента от подписания акта об отпуске тепловой энергии и акта сверки расчетов, данные по количеству принятой Абонентом тепловой энергии принимаются по расчетным данным ЭСО.</w:t>
      </w:r>
    </w:p>
    <w:p>
      <w:pPr>
        <w:pStyle w:val="Style19"/>
        <w:shd w:fill="FFFFFF" w:val="clear"/>
        <w:spacing w:before="0" w:after="0"/>
        <w:ind w:firstLine="708" w:end="0"/>
        <w:jc w:val="both"/>
        <w:rPr/>
      </w:pPr>
      <w:r>
        <w:rPr>
          <w:sz w:val="20"/>
          <w:szCs w:val="20"/>
        </w:rPr>
        <w:t>7.10 В соответствии со</w:t>
      </w:r>
      <w:r>
        <w:rPr>
          <w:color w:val="333333"/>
          <w:sz w:val="20"/>
          <w:szCs w:val="20"/>
        </w:rPr>
        <w:t xml:space="preserve"> ст. 13.3 Федерального закона от 25.12.2008 N 273-ФЗ "О противодействии коррупции" все организации обязаны разрабатывать и принимать меры по предупреждению коррупции.</w:t>
      </w:r>
    </w:p>
    <w:p>
      <w:pPr>
        <w:pStyle w:val="Normal"/>
        <w:autoSpaceDE w:val="false"/>
        <w:ind w:firstLine="720" w:end="0"/>
        <w:jc w:val="both"/>
        <w:rPr>
          <w:sz w:val="20"/>
          <w:szCs w:val="20"/>
        </w:rPr>
      </w:pPr>
      <w:r>
        <w:rPr>
          <w:color w:val="333333"/>
          <w:sz w:val="20"/>
          <w:szCs w:val="20"/>
        </w:rPr>
        <w:t>Меры по предупреждению коррупции, принимаемые в организации, могут включать: определение подразделений или должностных лиц, ответственных за профилактику коррупционных и иных правонарушений; сотрудничество организации с правоохранительными органами; разработку и внедрение в практику стандартов и процедур, направленных на обеспечение добросовестной работы организации; принятие кодекса этики и служебного поведения работников организации; предотвращение и урегулирование конфликта интересов; недопущение составления неофициальной отчетности и использования поддельных документов.</w:t>
      </w:r>
    </w:p>
    <w:p>
      <w:pPr>
        <w:pStyle w:val="Normal"/>
        <w:autoSpaceDE w:val="false"/>
        <w:spacing w:before="120" w:after="120"/>
        <w:jc w:val="center"/>
        <w:rPr/>
      </w:pPr>
      <w:r>
        <w:rPr>
          <w:rFonts w:cs="TimesNewRoman,Bold;Times New Roman" w:ascii="TimesNewRoman,Bold;Times New Roman" w:hAnsi="TimesNewRoman,Bold;Times New Roman"/>
          <w:b/>
          <w:bCs/>
          <w:sz w:val="20"/>
          <w:szCs w:val="20"/>
          <w:lang w:val="en-US"/>
        </w:rPr>
        <w:t>VIII</w:t>
      </w:r>
      <w:r>
        <w:rPr>
          <w:rFonts w:cs="TimesNewRoman,Bold;Times New Roman" w:ascii="TimesNewRoman,Bold;Times New Roman" w:hAnsi="TimesNewRoman,Bold;Times New Roman"/>
          <w:b/>
          <w:bCs/>
          <w:sz w:val="20"/>
          <w:szCs w:val="20"/>
        </w:rPr>
        <w:t>. Особые условия</w:t>
      </w:r>
    </w:p>
    <w:p>
      <w:pPr>
        <w:pStyle w:val="Normal"/>
        <w:autoSpaceDE w:val="false"/>
        <w:ind w:firstLine="720" w:end="0"/>
        <w:jc w:val="both"/>
        <w:rPr/>
      </w:pPr>
      <w:r>
        <w:rPr>
          <w:rFonts w:cs="TimesNewRoman,Bold;Times New Roman" w:ascii="TimesNewRoman,Bold;Times New Roman" w:hAnsi="TimesNewRoman,Bold;Times New Roman"/>
          <w:sz w:val="20"/>
          <w:szCs w:val="20"/>
        </w:rPr>
        <w:t xml:space="preserve">8.1. </w:t>
      </w:r>
      <w:r>
        <w:rPr>
          <w:bCs/>
          <w:sz w:val="20"/>
          <w:szCs w:val="20"/>
        </w:rPr>
        <w:t xml:space="preserve">При сверхнормативной утечке воды из системы и использовании ее не по назначению, при превышении расхода сетевой воды и ее самовольном водоразборе, «Абонент», кроме оплаты за тепловую энергию, содержащуюся в невозвращенном теплоносителе, по установленному на нее тарифу, возмещает расходы «ЭСО» на приобретение и химическую очистку воды по тарифу за теплоноситель, утвержденному </w:t>
      </w:r>
      <w:r>
        <w:rPr>
          <w:rFonts w:cs="TimesNewRoman;Times New Roman" w:ascii="TimesNewRoman;Times New Roman" w:hAnsi="TimesNewRoman;Times New Roman"/>
          <w:sz w:val="20"/>
          <w:szCs w:val="20"/>
        </w:rPr>
        <w:t>Министерством тарифного регулирования Воронежской области</w:t>
      </w:r>
      <w:r>
        <w:rPr>
          <w:rFonts w:cs="TimesNewRoman,Bold;Times New Roman" w:ascii="TimesNewRoman,Bold;Times New Roman" w:hAnsi="TimesNewRoman,Bold;Times New Roman"/>
          <w:sz w:val="20"/>
          <w:szCs w:val="20"/>
        </w:rPr>
        <w:t>.</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Сверхнормативная утечка теплоносителя определяется ЭСО и фиксируется в двухстороннем акте. Необоснованный отказ Абонента от подписи акта не освобождает его от оплаты в установленном порядке.</w:t>
      </w:r>
    </w:p>
    <w:p>
      <w:pPr>
        <w:pStyle w:val="Normal"/>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8.2. ЭСО не несет материальной ответственности перед Абонентом за снижение параметра теплоносителя и недоотпуск тепловой энергии, вызванные условиями ограничения подачи энергоресурсов.</w:t>
      </w:r>
    </w:p>
    <w:p>
      <w:pPr>
        <w:pStyle w:val="Normal"/>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8.3. В случае подачи в Арбитражный суд заявления о возбуждении в отношении Абонента дела о несостоятельности (банкротстве), в 10-ти дневный срок с момента подачи заявления в арбитражный суд самим Абонентом или иным кредитором, Абонент обязан направить ЭСО копию заявления «О несостоятельности (банкротстве)».</w:t>
      </w:r>
    </w:p>
    <w:p>
      <w:pPr>
        <w:pStyle w:val="Normal"/>
        <w:ind w:firstLine="708" w:end="0"/>
        <w:jc w:val="both"/>
        <w:rPr/>
      </w:pPr>
      <w:r>
        <w:rPr>
          <w:rFonts w:cs="TimesNewRoman,Bold;Times New Roman" w:ascii="TimesNewRoman,Bold;Times New Roman" w:hAnsi="TimesNewRoman,Bold;Times New Roman"/>
          <w:sz w:val="20"/>
          <w:szCs w:val="20"/>
        </w:rPr>
        <w:t>8.4. Стороны договорились о том, что вся переписка между ними по всем вытекающим из контракта обязательствам производится по адресам, указанным в контракте. Сторона, адрес и (или) банковские реквизиты которой изменены, обязана в 10-ти дневный срок надлежащим образом уведомить другую сторону об изменении. В случае несвоевременного и (или) ненадлежащего уведомления стороной об указанных изменениях, считать переписку по адресам, указанным в контракте надлежащей</w:t>
      </w:r>
      <w:r>
        <w:rPr>
          <w:rFonts w:cs="TimesNewRoman,Bold;Times New Roman" w:ascii="TimesNewRoman,Bold;Times New Roman" w:hAnsi="TimesNewRoman,Bold;Times New Roman"/>
          <w:bCs/>
          <w:sz w:val="20"/>
          <w:szCs w:val="20"/>
        </w:rPr>
        <w:t xml:space="preserve"> </w:t>
      </w:r>
      <w:r>
        <w:rPr>
          <w:rFonts w:cs="TimesNewRoman,Bold;Times New Roman" w:ascii="TimesNewRoman,Bold;Times New Roman" w:hAnsi="TimesNewRoman,Bold;Times New Roman"/>
          <w:sz w:val="20"/>
          <w:szCs w:val="20"/>
        </w:rPr>
        <w:t>перепиской.</w:t>
      </w:r>
    </w:p>
    <w:p>
      <w:pPr>
        <w:pStyle w:val="Normal"/>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8.5. Во всем, что не предусмотрено настоящим контрактом, стороны руководствуются законодательством РФ и нормативными актами, действующими на территории РФ.</w:t>
      </w:r>
    </w:p>
    <w:p>
      <w:pPr>
        <w:pStyle w:val="Normal"/>
        <w:autoSpaceDE w:val="false"/>
        <w:spacing w:before="120" w:after="120"/>
        <w:jc w:val="center"/>
        <w:rPr/>
      </w:pPr>
      <w:r>
        <w:rPr>
          <w:rFonts w:cs="TimesNewRoman;Times New Roman" w:ascii="TimesNewRoman;Times New Roman" w:hAnsi="TimesNewRoman;Times New Roman"/>
          <w:b/>
          <w:sz w:val="20"/>
          <w:szCs w:val="20"/>
          <w:lang w:val="en-US"/>
        </w:rPr>
        <w:t>IX</w:t>
      </w:r>
      <w:r>
        <w:rPr>
          <w:rFonts w:cs="TimesNewRoman;Times New Roman" w:ascii="TimesNewRoman;Times New Roman" w:hAnsi="TimesNewRoman;Times New Roman"/>
          <w:b/>
          <w:sz w:val="20"/>
          <w:szCs w:val="20"/>
        </w:rPr>
        <w:t xml:space="preserve">. Срок </w:t>
      </w:r>
      <w:r>
        <w:rPr>
          <w:rFonts w:cs="TimesNewRoman,Bold;Times New Roman" w:ascii="TimesNewRoman,Bold;Times New Roman" w:hAnsi="TimesNewRoman,Bold;Times New Roman"/>
          <w:b/>
          <w:bCs/>
          <w:sz w:val="20"/>
          <w:szCs w:val="20"/>
        </w:rPr>
        <w:t>действия</w:t>
      </w:r>
      <w:r>
        <w:rPr>
          <w:rFonts w:cs="TimesNewRoman;Times New Roman" w:ascii="TimesNewRoman;Times New Roman" w:hAnsi="TimesNewRoman;Times New Roman"/>
          <w:b/>
          <w:sz w:val="20"/>
          <w:szCs w:val="20"/>
        </w:rPr>
        <w:t xml:space="preserve"> контракта</w:t>
      </w:r>
    </w:p>
    <w:p>
      <w:pPr>
        <w:pStyle w:val="Normal"/>
        <w:autoSpaceDE w:val="false"/>
        <w:ind w:firstLine="720" w:end="0"/>
        <w:jc w:val="both"/>
        <w:rPr>
          <w:rFonts w:ascii="TimesNewRoman,Bold;Times New Roman" w:hAnsi="TimesNewRoman,Bold;Times New Roman" w:cs="TimesNewRoman,Bold;Times New Roman"/>
          <w:sz w:val="20"/>
          <w:szCs w:val="20"/>
        </w:rPr>
      </w:pPr>
      <w:r>
        <w:rPr>
          <w:sz w:val="20"/>
          <w:szCs w:val="20"/>
        </w:rPr>
        <w:t xml:space="preserve">9.1. Данный контракт вступает в силу с момента подписания, распространяется на отношения, возникшие                     </w:t>
      </w:r>
      <w:r>
        <w:rPr>
          <w:rFonts w:cs="TimesNewRoman,Bold;Times New Roman" w:ascii="TimesNewRoman,Bold;Times New Roman" w:hAnsi="TimesNewRoman,Bold;Times New Roman"/>
          <w:sz w:val="20"/>
          <w:szCs w:val="20"/>
        </w:rPr>
        <w:t xml:space="preserve">с </w:t>
      </w:r>
      <w:r>
        <w:rPr>
          <w:rFonts w:cs="TimesNewRoman,Bold;Times New Roman" w:ascii="TimesNewRoman,Bold;Times New Roman" w:hAnsi="TimesNewRoman,Bold;Times New Roman"/>
          <w:b/>
          <w:sz w:val="20"/>
          <w:szCs w:val="20"/>
        </w:rPr>
        <w:t>_________________</w:t>
      </w:r>
      <w:r>
        <w:rPr>
          <w:rFonts w:cs="TimesNewRoman,Bold;Times New Roman" w:ascii="TimesNewRoman,Bold;Times New Roman" w:hAnsi="TimesNewRoman,Bold;Times New Roman"/>
          <w:sz w:val="20"/>
          <w:szCs w:val="20"/>
        </w:rPr>
        <w:t xml:space="preserve"> и действует по __________________  </w:t>
      </w:r>
      <w:r>
        <w:rPr>
          <w:sz w:val="20"/>
          <w:szCs w:val="20"/>
        </w:rPr>
        <w:t xml:space="preserve"> включительно. В части, касающейся расчетов, до полного исполнения обязательств сторонами.</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Расторжение контракта допускается по соглашению сторон, по решению суда. При исполнении настоящего контракта изменение его условий осуществляется по соглашению сторон в соответствии со статьями 34 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right" w:pos="9072" w:leader="none"/>
        </w:tabs>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Прекращение (окончание) срока действия контракта, в том числе его досрочное расторжение, не освобождает стороны от исполнения своих обязательств, возникших в период его действия, и от ответственности за его нарушения, если таковые имели место при исполнении контракта.</w:t>
      </w:r>
    </w:p>
    <w:p>
      <w:pPr>
        <w:pStyle w:val="Normal"/>
        <w:autoSpaceDE w:val="false"/>
        <w:ind w:firstLine="708"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9.2. Любые изменения и дополнения к настоящему контракту должны быть оформлены в письменном виде и подписаны полномочными представителями сторон, после чего они становятся неотъемлемой частью настоящего контракта, если иное не предусмотрено настоящим контрактом.</w:t>
      </w:r>
    </w:p>
    <w:p>
      <w:pPr>
        <w:pStyle w:val="Normal"/>
        <w:autoSpaceDE w:val="false"/>
        <w:ind w:firstLine="720" w:end="0"/>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 xml:space="preserve">9.3. В случае расторжения настоящего контракта, Абонент обязан произвести полный расчет за потребленную тепловую энергию. </w:t>
      </w:r>
    </w:p>
    <w:p>
      <w:pPr>
        <w:pStyle w:val="Normal"/>
        <w:autoSpaceDE w:val="false"/>
        <w:jc w:val="both"/>
        <w:rPr/>
      </w:pPr>
      <w:r>
        <w:rPr>
          <w:rFonts w:cs="TimesNewRoman,Bold;Times New Roman" w:ascii="TimesNewRoman,Bold;Times New Roman" w:hAnsi="TimesNewRoman,Bold;Times New Roman"/>
          <w:sz w:val="20"/>
          <w:szCs w:val="20"/>
        </w:rPr>
        <w:tab/>
        <w:t>9.4. Приложения №1,2,3,4,5 к контракту являются неотъемлемой его частью.</w:t>
      </w:r>
    </w:p>
    <w:p>
      <w:pPr>
        <w:pStyle w:val="Normal"/>
        <w:autoSpaceDE w:val="false"/>
        <w:jc w:val="both"/>
        <w:rPr>
          <w:rFonts w:ascii="TimesNewRoman,Bold;Times New Roman" w:hAnsi="TimesNewRoman,Bold;Times New Roman" w:cs="TimesNewRoman,Bold;Times New Roman"/>
          <w:sz w:val="20"/>
          <w:szCs w:val="20"/>
        </w:rPr>
      </w:pPr>
      <w:r>
        <w:rPr>
          <w:rFonts w:cs="TimesNewRoman,Bold;Times New Roman" w:ascii="TimesNewRoman,Bold;Times New Roman" w:hAnsi="TimesNewRoman,Bold;Times New Roman"/>
          <w:sz w:val="20"/>
          <w:szCs w:val="20"/>
        </w:rPr>
        <w:tab/>
        <w:t>9.5. Настоящий контракт составлен в двух экземплярах, имеющих одинаковую силу, по одному экземпляру для каждой из сторон.</w:t>
      </w:r>
    </w:p>
    <w:p>
      <w:pPr>
        <w:pStyle w:val="Style17"/>
        <w:jc w:val="start"/>
        <w:rPr>
          <w:rFonts w:ascii="Times New Roman" w:hAnsi="Times New Roman" w:cs="Times New Roman"/>
          <w:bCs w:val="false"/>
          <w:sz w:val="20"/>
          <w:szCs w:val="20"/>
        </w:rPr>
      </w:pPr>
      <w:r>
        <w:rPr>
          <w:rFonts w:cs="Times New Roman" w:ascii="Times New Roman" w:hAnsi="Times New Roman"/>
          <w:bCs w:val="false"/>
          <w:sz w:val="20"/>
          <w:szCs w:val="20"/>
        </w:rPr>
        <w:t xml:space="preserve">                                                                             </w:t>
      </w:r>
    </w:p>
    <w:p>
      <w:pPr>
        <w:pStyle w:val="Style17"/>
        <w:jc w:val="start"/>
        <w:rPr>
          <w:rFonts w:ascii="Times New Roman" w:hAnsi="Times New Roman" w:cs="Times New Roman"/>
          <w:bCs w:val="false"/>
          <w:sz w:val="20"/>
          <w:szCs w:val="20"/>
        </w:rPr>
      </w:pPr>
      <w:r>
        <w:rPr>
          <w:rFonts w:cs="Times New Roman" w:ascii="Times New Roman" w:hAnsi="Times New Roman"/>
          <w:bCs w:val="false"/>
          <w:sz w:val="20"/>
          <w:szCs w:val="20"/>
        </w:rPr>
      </w:r>
    </w:p>
    <w:p>
      <w:pPr>
        <w:pStyle w:val="Style17"/>
        <w:rPr>
          <w:rFonts w:ascii="Times New Roman" w:hAnsi="Times New Roman" w:cs="Times New Roman"/>
          <w:bCs w:val="false"/>
          <w:sz w:val="20"/>
          <w:szCs w:val="20"/>
        </w:rPr>
      </w:pPr>
      <w:r>
        <w:rPr>
          <w:rFonts w:cs="Times New Roman" w:ascii="Times New Roman" w:hAnsi="Times New Roman"/>
          <w:bCs w:val="false"/>
          <w:sz w:val="20"/>
          <w:szCs w:val="20"/>
        </w:rPr>
        <w:t>Реквизиты сторон</w:t>
      </w:r>
    </w:p>
    <w:p>
      <w:pPr>
        <w:pStyle w:val="Style17"/>
        <w:rPr>
          <w:rFonts w:ascii="Times New Roman" w:hAnsi="Times New Roman" w:cs="Times New Roman"/>
          <w:bCs w:val="false"/>
          <w:sz w:val="20"/>
          <w:szCs w:val="20"/>
        </w:rPr>
      </w:pPr>
      <w:r>
        <w:rPr>
          <w:rFonts w:cs="Times New Roman" w:ascii="Times New Roman" w:hAnsi="Times New Roman"/>
          <w:bCs w:val="false"/>
          <w:sz w:val="20"/>
          <w:szCs w:val="20"/>
        </w:rPr>
      </w:r>
    </w:p>
    <w:tbl>
      <w:tblPr>
        <w:tblW w:w="10472" w:type="dxa"/>
        <w:jc w:val="start"/>
        <w:tblInd w:w="-34" w:type="dxa"/>
        <w:tblLayout w:type="fixed"/>
        <w:tblCellMar>
          <w:top w:w="0" w:type="dxa"/>
          <w:start w:w="108" w:type="dxa"/>
          <w:bottom w:w="0" w:type="dxa"/>
          <w:end w:w="108" w:type="dxa"/>
        </w:tblCellMar>
      </w:tblPr>
      <w:tblGrid>
        <w:gridCol w:w="5307"/>
        <w:gridCol w:w="5165"/>
      </w:tblGrid>
      <w:tr>
        <w:trPr>
          <w:trHeight w:val="2367" w:hRule="atLeast"/>
          <w:cantSplit/>
        </w:trPr>
        <w:tc>
          <w:tcPr>
            <w:tcW w:w="5307" w:type="dxa"/>
            <w:tcBorders/>
          </w:tcPr>
          <w:p>
            <w:pPr>
              <w:pStyle w:val="Normal"/>
              <w:autoSpaceDE w:val="false"/>
              <w:jc w:val="center"/>
              <w:rPr>
                <w:rFonts w:ascii="TimesNewRoman,Bold;Times New Roman" w:hAnsi="TimesNewRoman,Bold;Times New Roman" w:cs="TimesNewRoman,Bold;Times New Roman"/>
                <w:b/>
                <w:sz w:val="20"/>
                <w:szCs w:val="20"/>
              </w:rPr>
            </w:pPr>
            <w:r>
              <w:rPr>
                <w:rFonts w:cs="TimesNewRoman,Bold;Times New Roman" w:ascii="TimesNewRoman,Bold;Times New Roman" w:hAnsi="TimesNewRoman,Bold;Times New Roman"/>
                <w:b/>
                <w:sz w:val="20"/>
                <w:szCs w:val="20"/>
              </w:rPr>
              <w:t>Энергоснабжающая организация»</w:t>
            </w:r>
          </w:p>
          <w:p>
            <w:pPr>
              <w:pStyle w:val="Normal"/>
              <w:jc w:val="both"/>
              <w:rPr>
                <w:b/>
                <w:sz w:val="20"/>
                <w:szCs w:val="20"/>
              </w:rPr>
            </w:pPr>
            <w:r>
              <w:rPr>
                <w:b/>
                <w:sz w:val="20"/>
                <w:szCs w:val="20"/>
              </w:rPr>
              <w:t xml:space="preserve">Реквизиты: </w:t>
            </w:r>
          </w:p>
          <w:p>
            <w:pPr>
              <w:pStyle w:val="Normal"/>
              <w:jc w:val="both"/>
              <w:rPr>
                <w:b/>
                <w:sz w:val="20"/>
                <w:szCs w:val="20"/>
              </w:rPr>
            </w:pPr>
            <w:r>
              <w:rPr>
                <w:b/>
                <w:sz w:val="20"/>
                <w:szCs w:val="20"/>
              </w:rPr>
              <w:t xml:space="preserve">МУП БГО ВО «Борисоглебские теплосети»</w:t>
            </w:r>
          </w:p>
          <w:p>
            <w:pPr>
              <w:pStyle w:val="Normal"/>
              <w:jc w:val="both"/>
              <w:rPr/>
            </w:pPr>
            <w:r>
              <w:rPr>
                <w:sz w:val="20"/>
                <w:szCs w:val="20"/>
              </w:rPr>
              <w:t xml:space="preserve">397165, Воронежская область, г. Борисоглебск, ул. Матросовская, зд. 117</w:t>
            </w:r>
          </w:p>
          <w:p>
            <w:pPr>
              <w:pStyle w:val="Normal"/>
              <w:rPr>
                <w:sz w:val="20"/>
                <w:szCs w:val="20"/>
              </w:rPr>
            </w:pPr>
            <w:r>
              <w:rPr>
                <w:sz w:val="20"/>
                <w:szCs w:val="20"/>
              </w:rPr>
              <w:t xml:space="preserve">ИНН 3604086750 КПП 360401001</w:t>
            </w:r>
          </w:p>
          <w:p>
            <w:pPr>
              <w:pStyle w:val="Normal"/>
              <w:rPr>
                <w:sz w:val="20"/>
                <w:szCs w:val="20"/>
              </w:rPr>
            </w:pPr>
            <w:r>
              <w:rPr>
                <w:sz w:val="20"/>
                <w:szCs w:val="20"/>
              </w:rPr>
              <w:t>Наименование банка:</w:t>
            </w:r>
          </w:p>
          <w:p>
            <w:pPr>
              <w:pStyle w:val="Normal"/>
              <w:jc w:val="both"/>
              <w:rPr>
                <w:sz w:val="20"/>
                <w:szCs w:val="20"/>
              </w:rPr>
            </w:pPr>
            <w:r>
              <w:rPr>
                <w:sz w:val="20"/>
                <w:szCs w:val="20"/>
              </w:rPr>
              <w:t>АО «Альфа-Банк», г. Москва</w:t>
            </w:r>
          </w:p>
          <w:p>
            <w:pPr>
              <w:pStyle w:val="Normal"/>
              <w:jc w:val="both"/>
              <w:rPr>
                <w:sz w:val="20"/>
                <w:szCs w:val="20"/>
              </w:rPr>
            </w:pPr>
            <w:r>
              <w:rPr>
                <w:sz w:val="20"/>
                <w:szCs w:val="20"/>
              </w:rPr>
              <w:t>БИК: 044525593</w:t>
            </w:r>
          </w:p>
          <w:p>
            <w:pPr>
              <w:pStyle w:val="Normal"/>
              <w:jc w:val="both"/>
              <w:rPr>
                <w:sz w:val="20"/>
                <w:szCs w:val="20"/>
              </w:rPr>
            </w:pPr>
            <w:r>
              <w:rPr>
                <w:sz w:val="20"/>
                <w:szCs w:val="20"/>
              </w:rPr>
              <w:t>К/с: 30101810200000000593</w:t>
            </w:r>
          </w:p>
          <w:p>
            <w:pPr>
              <w:pStyle w:val="Normal"/>
              <w:jc w:val="both"/>
              <w:rPr>
                <w:sz w:val="20"/>
                <w:szCs w:val="20"/>
              </w:rPr>
            </w:pPr>
            <w:r>
              <w:rPr>
                <w:sz w:val="20"/>
                <w:szCs w:val="20"/>
              </w:rPr>
              <w:t xml:space="preserve">Р/с: 40702810002940027036</w:t>
            </w:r>
          </w:p>
          <w:p>
            <w:pPr>
              <w:pStyle w:val="Normal"/>
              <w:jc w:val="both"/>
              <w:rPr>
                <w:sz w:val="20"/>
                <w:szCs w:val="20"/>
              </w:rPr>
            </w:pPr>
            <w:r>
              <w:rPr>
                <w:sz w:val="20"/>
                <w:szCs w:val="20"/>
              </w:rPr>
              <w:t xml:space="preserve">ОГРН 1263600008980</w:t>
            </w:r>
          </w:p>
          <w:p>
            <w:pPr>
              <w:pStyle w:val="Normal"/>
              <w:jc w:val="both"/>
              <w:rPr>
                <w:sz w:val="20"/>
                <w:szCs w:val="20"/>
              </w:rPr>
            </w:pPr>
            <w:r>
              <w:rPr>
                <w:sz w:val="20"/>
                <w:szCs w:val="20"/>
              </w:rPr>
              <w:t xml:space="preserve">ОКПО ____________</w:t>
            </w:r>
          </w:p>
          <w:p>
            <w:pPr>
              <w:pStyle w:val="Normal"/>
              <w:autoSpaceDE w:val="false"/>
              <w:jc w:val="both"/>
              <w:rPr>
                <w:rFonts w:ascii="TimesNewRoman,Bold;Times New Roman" w:hAnsi="TimesNewRoman,Bold;Times New Roman" w:cs="TimesNewRoman,Bold;Times New Roman"/>
                <w:bCs/>
                <w:sz w:val="20"/>
                <w:szCs w:val="20"/>
              </w:rPr>
            </w:pPr>
            <w:r>
              <w:rPr>
                <w:rFonts w:cs="TimesNewRoman,Bold;Times New Roman" w:ascii="TimesNewRoman,Bold;Times New Roman" w:hAnsi="TimesNewRoman,Bold;Times New Roman"/>
                <w:bCs/>
                <w:sz w:val="20"/>
                <w:szCs w:val="20"/>
              </w:rPr>
              <w:t xml:space="preserve">Телефон: ____________.</w:t>
            </w:r>
          </w:p>
          <w:p>
            <w:pPr>
              <w:pStyle w:val="Normal"/>
              <w:rPr>
                <w:b/>
                <w:bCs/>
                <w:sz w:val="20"/>
                <w:szCs w:val="20"/>
              </w:rPr>
            </w:pPr>
            <w:r>
              <w:rPr>
                <w:rFonts w:cs="TimesNewRoman,Bold;Times New Roman" w:ascii="TimesNewRoman,Bold;Times New Roman" w:hAnsi="TimesNewRoman,Bold;Times New Roman"/>
                <w:bCs/>
                <w:sz w:val="20"/>
                <w:szCs w:val="20"/>
              </w:rPr>
              <w:t xml:space="preserve">Факс: ____________</w:t>
            </w:r>
          </w:p>
          <w:p>
            <w:pPr>
              <w:pStyle w:val="Normal"/>
              <w:autoSpaceDE w:val="false"/>
              <w:jc w:val="both"/>
              <w:rPr>
                <w:rFonts w:ascii="TimesNewRoman,Bold;Times New Roman" w:hAnsi="TimesNewRoman,Bold;Times New Roman" w:cs="TimesNewRoman,Bold;Times New Roman"/>
                <w:bCs/>
                <w:sz w:val="20"/>
                <w:szCs w:val="20"/>
              </w:rPr>
            </w:pPr>
            <w:r>
              <w:rPr>
                <w:rFonts w:cs="TimesNewRoman,Bold;Times New Roman" w:ascii="TimesNewRoman,Bold;Times New Roman" w:hAnsi="TimesNewRoman,Bold;Times New Roman"/>
                <w:bCs/>
                <w:sz w:val="20"/>
                <w:szCs w:val="20"/>
              </w:rPr>
              <w:t xml:space="preserve">Электронная почта: </w:t>
            </w:r>
            <w:r>
              <w:rPr>
                <w:rFonts w:cs="TimesNewRoman,Bold;Times New Roman" w:ascii="TimesNewRoman,Bold;Times New Roman" w:hAnsi="TimesNewRoman,Bold;Times New Roman"/>
                <w:bCs/>
                <w:sz w:val="20"/>
                <w:szCs w:val="20"/>
                <w:lang w:val="en-US"/>
              </w:rPr>
              <w:t xml:space="preserve">borisoglebskteplo@govvrn.ru</w:t>
            </w:r>
            <w:r>
              <w:rPr>
                <w:rFonts w:cs="TimesNewRoman,Bold;Times New Roman" w:ascii="TimesNewRoman,Bold;Times New Roman" w:hAnsi="TimesNewRoman,Bold;Times New Roman"/>
                <w:bCs/>
                <w:sz w:val="20"/>
                <w:szCs w:val="20"/>
              </w:rPr>
              <w:t xml:space="preserve"/>
            </w:r>
          </w:p>
          <w:p>
            <w:pPr>
              <w:pStyle w:val="Normal"/>
              <w:rPr>
                <w:rFonts w:ascii="TimesNewRoman,Bold;Times New Roman" w:hAnsi="TimesNewRoman,Bold;Times New Roman" w:cs="TimesNewRoman,Bold;Times New Roman"/>
                <w:b/>
                <w:bCs/>
                <w:sz w:val="20"/>
                <w:szCs w:val="20"/>
              </w:rPr>
            </w:pPr>
            <w:r>
              <w:rPr>
                <w:rFonts w:cs="TimesNewRoman,Bold;Times New Roman" w:ascii="TimesNewRoman,Bold;Times New Roman" w:hAnsi="TimesNewRoman,Bold;Times New Roman"/>
                <w:b/>
                <w:bCs/>
                <w:sz w:val="20"/>
                <w:szCs w:val="20"/>
              </w:rPr>
            </w:r>
          </w:p>
          <w:p>
            <w:pPr>
              <w:pStyle w:val="Normal"/>
              <w:rPr>
                <w:bCs/>
                <w:sz w:val="20"/>
                <w:szCs w:val="20"/>
                <w:lang w:val="en-US"/>
              </w:rPr>
            </w:pPr>
            <w:r>
              <w:rPr>
                <w:bCs/>
                <w:sz w:val="20"/>
                <w:szCs w:val="20"/>
              </w:rPr>
              <w:t xml:space="preserve"> </w:t>
            </w:r>
          </w:p>
          <w:p>
            <w:pPr>
              <w:pStyle w:val="Normal"/>
              <w:rPr>
                <w:b/>
                <w:bCs/>
                <w:sz w:val="20"/>
                <w:szCs w:val="20"/>
                <w:lang w:val="en-US"/>
              </w:rPr>
            </w:pPr>
            <w:r>
              <w:rPr>
                <w:b/>
                <w:bCs/>
                <w:sz w:val="20"/>
                <w:szCs w:val="20"/>
                <w:lang w:val="en-US"/>
              </w:rPr>
            </w:r>
          </w:p>
          <w:p>
            <w:pPr>
              <w:pStyle w:val="Normal"/>
              <w:rPr>
                <w:b/>
                <w:bCs/>
                <w:sz w:val="20"/>
                <w:szCs w:val="20"/>
              </w:rPr>
            </w:pPr>
            <w:r>
              <w:rPr>
                <w:b/>
                <w:bCs/>
                <w:sz w:val="20"/>
                <w:szCs w:val="20"/>
              </w:rPr>
            </w:r>
          </w:p>
        </w:tc>
        <w:tc>
          <w:tcPr>
            <w:tcW w:w="5165" w:type="dxa"/>
            <w:tcBorders/>
          </w:tcPr>
          <w:p>
            <w:pPr>
              <w:pStyle w:val="Normal"/>
              <w:jc w:val="center"/>
              <w:rPr>
                <w:b/>
                <w:sz w:val="20"/>
                <w:szCs w:val="20"/>
              </w:rPr>
            </w:pPr>
            <w:r>
              <w:rPr>
                <w:rFonts w:cs="TimesNewRoman,Bold;Times New Roman" w:ascii="TimesNewRoman,Bold;Times New Roman" w:hAnsi="TimesNewRoman,Bold;Times New Roman"/>
                <w:b/>
                <w:sz w:val="20"/>
                <w:szCs w:val="20"/>
              </w:rPr>
              <w:t>«Абонент»</w:t>
            </w:r>
          </w:p>
          <w:p>
            <w:pPr>
              <w:pStyle w:val="Normal"/>
              <w:jc w:val="both"/>
              <w:rPr>
                <w:b/>
                <w:sz w:val="20"/>
                <w:szCs w:val="20"/>
              </w:rPr>
            </w:pPr>
            <w:r>
              <w:rPr>
                <w:b/>
                <w:sz w:val="20"/>
                <w:szCs w:val="20"/>
              </w:rPr>
              <w:t xml:space="preserve">Реквизиты: </w:t>
            </w:r>
          </w:p>
          <w:p>
            <w:pPr>
              <w:pStyle w:val="Normal"/>
              <w:rPr>
                <w:b/>
                <w:sz w:val="20"/>
                <w:szCs w:val="20"/>
              </w:rPr>
            </w:pPr>
            <w:r>
              <w:rPr>
                <w:b/>
                <w:sz w:val="20"/>
                <w:szCs w:val="20"/>
              </w:rPr>
              <w:t>_______________________________________________</w:t>
            </w:r>
          </w:p>
          <w:p>
            <w:pPr>
              <w:pStyle w:val="Normal"/>
              <w:rPr>
                <w:sz w:val="20"/>
                <w:szCs w:val="20"/>
              </w:rPr>
            </w:pPr>
            <w:r>
              <w:rPr>
                <w:sz w:val="20"/>
                <w:szCs w:val="20"/>
              </w:rPr>
              <w:t>_______________________________________________</w:t>
            </w:r>
          </w:p>
          <w:p>
            <w:pPr>
              <w:pStyle w:val="Normal"/>
              <w:rPr>
                <w:sz w:val="20"/>
                <w:szCs w:val="20"/>
              </w:rPr>
            </w:pPr>
            <w:r>
              <w:rPr>
                <w:sz w:val="20"/>
                <w:szCs w:val="20"/>
              </w:rPr>
              <w:t>_______________________________________________</w:t>
            </w:r>
          </w:p>
          <w:p>
            <w:pPr>
              <w:pStyle w:val="Normal"/>
              <w:rPr>
                <w:sz w:val="20"/>
                <w:szCs w:val="20"/>
              </w:rPr>
            </w:pPr>
            <w:r>
              <w:rPr>
                <w:sz w:val="20"/>
                <w:szCs w:val="20"/>
              </w:rPr>
              <w:t>_______________________________________________</w:t>
            </w:r>
          </w:p>
          <w:p>
            <w:pPr>
              <w:pStyle w:val="Normal"/>
              <w:rPr>
                <w:sz w:val="20"/>
                <w:szCs w:val="20"/>
              </w:rPr>
            </w:pPr>
            <w:r>
              <w:rPr>
                <w:sz w:val="20"/>
                <w:szCs w:val="20"/>
              </w:rPr>
              <w:t>_______________________________________________</w:t>
            </w:r>
          </w:p>
          <w:p>
            <w:pPr>
              <w:pStyle w:val="Normal"/>
              <w:rPr>
                <w:sz w:val="20"/>
                <w:szCs w:val="20"/>
              </w:rPr>
            </w:pPr>
            <w:r>
              <w:rPr>
                <w:sz w:val="20"/>
                <w:szCs w:val="20"/>
              </w:rPr>
              <w:t>_______________________________________________</w:t>
            </w:r>
          </w:p>
          <w:p>
            <w:pPr>
              <w:pStyle w:val="Normal"/>
              <w:rPr>
                <w:sz w:val="20"/>
                <w:szCs w:val="20"/>
              </w:rPr>
            </w:pPr>
            <w:r>
              <w:rPr>
                <w:sz w:val="20"/>
                <w:szCs w:val="20"/>
              </w:rPr>
              <w:t>_______________________________________________</w:t>
            </w:r>
          </w:p>
          <w:p>
            <w:pPr>
              <w:pStyle w:val="Normal"/>
              <w:rPr/>
            </w:pPr>
            <w:r>
              <w:rPr>
                <w:sz w:val="20"/>
                <w:szCs w:val="20"/>
              </w:rPr>
              <w:t xml:space="preserve">_______________________________________________                        </w:t>
            </w:r>
          </w:p>
          <w:p>
            <w:pPr>
              <w:pStyle w:val="Normal"/>
              <w:rPr>
                <w:sz w:val="20"/>
                <w:szCs w:val="20"/>
              </w:rPr>
            </w:pPr>
            <w:r>
              <w:rPr>
                <w:sz w:val="20"/>
                <w:szCs w:val="20"/>
              </w:rPr>
              <w:t>_______________________________________________</w:t>
            </w:r>
          </w:p>
          <w:p>
            <w:pPr>
              <w:pStyle w:val="Normal"/>
              <w:rPr>
                <w:sz w:val="20"/>
                <w:szCs w:val="20"/>
              </w:rPr>
            </w:pPr>
            <w:r>
              <w:rPr>
                <w:sz w:val="20"/>
                <w:szCs w:val="20"/>
              </w:rPr>
            </w:r>
          </w:p>
          <w:p>
            <w:pPr>
              <w:pStyle w:val="Normal"/>
              <w:rPr>
                <w:bCs/>
                <w:sz w:val="20"/>
                <w:szCs w:val="20"/>
              </w:rPr>
            </w:pPr>
            <w:r>
              <w:rPr>
                <w:bCs/>
                <w:sz w:val="20"/>
                <w:szCs w:val="20"/>
              </w:rPr>
            </w:r>
          </w:p>
        </w:tc>
      </w:tr>
    </w:tbl>
    <w:p>
      <w:pPr>
        <w:pStyle w:val="Normal"/>
        <w:rPr>
          <w:vanish/>
        </w:rPr>
      </w:pPr>
      <w:r>
        <w:rPr>
          <w:vanish/>
        </w:rPr>
      </w:r>
    </w:p>
    <w:p>
      <w:pPr>
        <w:pStyle w:val="Normal"/>
        <w:rPr>
          <w:vanish/>
          <w:sz w:val="20"/>
          <w:szCs w:val="20"/>
        </w:rPr>
      </w:pPr>
      <w:r>
        <w:rPr>
          <w:vanish/>
          <w:sz w:val="20"/>
          <w:szCs w:val="20"/>
        </w:rPr>
      </w:r>
    </w:p>
    <w:p>
      <w:pPr>
        <w:pStyle w:val="Normal"/>
        <w:rPr>
          <w:sz w:val="20"/>
          <w:szCs w:val="20"/>
        </w:rPr>
      </w:pPr>
      <w:r>
        <w:rPr>
          <w:sz w:val="20"/>
          <w:szCs w:val="20"/>
        </w:rPr>
      </w:r>
    </w:p>
    <w:tbl>
      <w:tblPr>
        <w:tblW w:w="10338" w:type="dxa"/>
        <w:jc w:val="start"/>
        <w:tblInd w:w="0" w:type="dxa"/>
        <w:tblLayout w:type="fixed"/>
        <w:tblCellMar>
          <w:top w:w="0" w:type="dxa"/>
          <w:start w:w="108" w:type="dxa"/>
          <w:bottom w:w="0" w:type="dxa"/>
          <w:end w:w="108" w:type="dxa"/>
        </w:tblCellMar>
      </w:tblPr>
      <w:tblGrid>
        <w:gridCol w:w="5169"/>
        <w:gridCol w:w="5169"/>
      </w:tblGrid>
      <w:tr>
        <w:trPr/>
        <w:tc>
          <w:tcPr>
            <w:tcW w:w="5169" w:type="dxa"/>
            <w:tcBorders/>
          </w:tcPr>
          <w:p>
            <w:pPr>
              <w:pStyle w:val="Normal"/>
              <w:snapToGrid w:val="false"/>
              <w:rPr>
                <w:b/>
                <w:sz w:val="20"/>
                <w:szCs w:val="20"/>
              </w:rPr>
            </w:pPr>
            <w:r>
              <w:rPr>
                <w:b/>
                <w:sz w:val="20"/>
                <w:szCs w:val="20"/>
              </w:rPr>
            </w:r>
          </w:p>
        </w:tc>
        <w:tc>
          <w:tcPr>
            <w:tcW w:w="5169" w:type="dxa"/>
            <w:tcBorders/>
          </w:tcPr>
          <w:p>
            <w:pPr>
              <w:pStyle w:val="Style17"/>
              <w:snapToGrid w:val="false"/>
              <w:jc w:val="both"/>
              <w:rPr>
                <w:b/>
                <w:sz w:val="20"/>
                <w:szCs w:val="20"/>
              </w:rPr>
            </w:pPr>
            <w:r>
              <w:rPr>
                <w:b/>
                <w:sz w:val="20"/>
                <w:szCs w:val="20"/>
              </w:rPr>
            </w:r>
          </w:p>
        </w:tc>
      </w:tr>
    </w:tbl>
    <w:p>
      <w:pPr>
        <w:pStyle w:val="Normal"/>
        <w:rPr>
          <w:sz w:val="20"/>
          <w:szCs w:val="20"/>
        </w:rPr>
      </w:pPr>
      <w:r>
        <w:rPr>
          <w:sz w:val="20"/>
          <w:szCs w:val="20"/>
        </w:rPr>
      </w:r>
    </w:p>
    <w:tbl>
      <w:tblPr>
        <w:tblW w:w="10338" w:type="dxa"/>
        <w:jc w:val="start"/>
        <w:tblInd w:w="0" w:type="dxa"/>
        <w:tblLayout w:type="fixed"/>
        <w:tblCellMar>
          <w:top w:w="0" w:type="dxa"/>
          <w:start w:w="108" w:type="dxa"/>
          <w:bottom w:w="0" w:type="dxa"/>
          <w:end w:w="108" w:type="dxa"/>
        </w:tblCellMar>
      </w:tblPr>
      <w:tblGrid>
        <w:gridCol w:w="5171"/>
        <w:gridCol w:w="5167"/>
      </w:tblGrid>
      <w:tr>
        <w:trPr/>
        <w:tc>
          <w:tcPr>
            <w:tcW w:w="5171" w:type="dxa"/>
            <w:tcBorders/>
          </w:tcPr>
          <w:p>
            <w:pPr>
              <w:pStyle w:val="Style17"/>
              <w:jc w:val="both"/>
              <w:rPr>
                <w:bCs w:val="false"/>
                <w:sz w:val="20"/>
                <w:szCs w:val="20"/>
              </w:rPr>
            </w:pPr>
            <w:r>
              <w:rPr>
                <w:b w:val="false"/>
                <w:bCs w:val="false"/>
                <w:sz w:val="20"/>
                <w:szCs w:val="20"/>
              </w:rPr>
              <w:t xml:space="preserve">Директор ______________ / А. А. Егорова /</w:t>
            </w:r>
          </w:p>
          <w:p>
            <w:pPr>
              <w:pStyle w:val="Normal"/>
              <w:rPr>
                <w:b/>
                <w:sz w:val="20"/>
                <w:szCs w:val="20"/>
              </w:rPr>
            </w:pPr>
            <w:r>
              <w:rPr>
                <w:b/>
                <w:bCs/>
                <w:sz w:val="20"/>
                <w:szCs w:val="20"/>
              </w:rPr>
              <w:t xml:space="preserve">М.П.                                </w:t>
            </w:r>
          </w:p>
        </w:tc>
        <w:tc>
          <w:tcPr>
            <w:tcW w:w="5167" w:type="dxa"/>
            <w:tcBorders/>
          </w:tcPr>
          <w:p>
            <w:pPr>
              <w:pStyle w:val="Style17"/>
              <w:jc w:val="both"/>
              <w:rPr>
                <w:bCs w:val="false"/>
                <w:sz w:val="20"/>
                <w:szCs w:val="20"/>
              </w:rPr>
            </w:pPr>
            <w:r>
              <w:rPr>
                <w:b w:val="false"/>
                <w:bCs w:val="false"/>
                <w:sz w:val="20"/>
                <w:szCs w:val="20"/>
              </w:rPr>
              <w:t>____________________/_____________________/</w:t>
            </w:r>
          </w:p>
          <w:p>
            <w:pPr>
              <w:pStyle w:val="Style17"/>
              <w:jc w:val="both"/>
              <w:rPr>
                <w:sz w:val="20"/>
                <w:szCs w:val="20"/>
              </w:rPr>
            </w:pPr>
            <w:r>
              <w:rPr>
                <w:bCs w:val="false"/>
                <w:sz w:val="20"/>
                <w:szCs w:val="20"/>
              </w:rPr>
              <w:t>М.П.</w:t>
            </w:r>
          </w:p>
        </w:tc>
      </w:tr>
    </w:tbl>
    <w:p>
      <w:pPr>
        <w:pStyle w:val="Normal"/>
        <w:rPr>
          <w:b/>
          <w:sz w:val="20"/>
          <w:szCs w:val="20"/>
        </w:rPr>
      </w:pPr>
      <w:r>
        <w:rPr>
          <w:b/>
          <w:sz w:val="20"/>
          <w:szCs w:val="20"/>
        </w:rPr>
      </w:r>
    </w:p>
    <w:p>
      <w:pPr>
        <w:pStyle w:val="Style17"/>
        <w:tabs>
          <w:tab w:val="clear" w:pos="708"/>
          <w:tab w:val="left" w:pos="5130" w:leader="none"/>
        </w:tabs>
        <w:spacing w:lineRule="auto" w:line="360"/>
        <w:jc w:val="both"/>
        <w:rPr>
          <w:b w:val="false"/>
          <w:sz w:val="20"/>
          <w:szCs w:val="20"/>
        </w:rPr>
      </w:pPr>
      <w:r>
        <w:rPr>
          <w:b w:val="false"/>
          <w:sz w:val="20"/>
          <w:szCs w:val="20"/>
        </w:rPr>
      </w:r>
    </w:p>
    <w:tbl>
      <w:tblPr>
        <w:tblW w:w="1890" w:type="dxa"/>
        <w:jc w:val="start"/>
        <w:tblInd w:w="0" w:type="dxa"/>
        <w:tblLayout w:type="fixed"/>
        <w:tblCellMar>
          <w:top w:w="0" w:type="dxa"/>
          <w:start w:w="15" w:type="dxa"/>
          <w:bottom w:w="0" w:type="dxa"/>
          <w:end w:w="0" w:type="dxa"/>
        </w:tblCellMar>
      </w:tblPr>
      <w:tblGrid>
        <w:gridCol w:w="945"/>
        <w:gridCol w:w="945"/>
      </w:tblGrid>
      <w:tr>
        <w:trPr/>
        <w:tc>
          <w:tcPr>
            <w:tcW w:w="945" w:type="dxa"/>
            <w:tcBorders/>
            <w:vAlign w:val="center"/>
          </w:tcPr>
          <w:p>
            <w:pPr>
              <w:pStyle w:val="Normal"/>
              <w:snapToGrid w:val="false"/>
              <w:rPr>
                <w:sz w:val="20"/>
                <w:szCs w:val="20"/>
              </w:rPr>
            </w:pPr>
            <w:r>
              <w:rPr>
                <w:sz w:val="20"/>
                <w:szCs w:val="20"/>
              </w:rPr>
            </w:r>
          </w:p>
        </w:tc>
        <w:tc>
          <w:tcPr>
            <w:tcW w:w="945" w:type="dxa"/>
            <w:tcBorders/>
            <w:vAlign w:val="center"/>
          </w:tcPr>
          <w:p>
            <w:pPr>
              <w:pStyle w:val="Normal"/>
              <w:snapToGrid w:val="false"/>
              <w:rPr>
                <w:sz w:val="20"/>
                <w:szCs w:val="20"/>
              </w:rPr>
            </w:pPr>
            <w:r>
              <w:rPr>
                <w:sz w:val="20"/>
                <w:szCs w:val="20"/>
              </w:rPr>
            </w:r>
          </w:p>
        </w:tc>
      </w:tr>
      <w:tr>
        <w:trPr/>
        <w:tc>
          <w:tcPr>
            <w:tcW w:w="1890" w:type="dxa"/>
            <w:gridSpan w:val="2"/>
            <w:tcBorders/>
            <w:vAlign w:val="center"/>
          </w:tcPr>
          <w:p>
            <w:pPr>
              <w:pStyle w:val="Normal"/>
              <w:snapToGrid w:val="false"/>
              <w:rPr>
                <w:sz w:val="20"/>
                <w:szCs w:val="20"/>
              </w:rPr>
            </w:pPr>
            <w:r>
              <w:rPr>
                <w:sz w:val="20"/>
                <w:szCs w:val="20"/>
              </w:rPr>
            </w:r>
          </w:p>
        </w:tc>
      </w:tr>
    </w:tbl>
    <w:p>
      <w:pPr>
        <w:pStyle w:val="Normal"/>
        <w:autoSpaceDE w:val="false"/>
        <w:jc w:val="both"/>
        <w:rPr>
          <w:sz w:val="28"/>
          <w:szCs w:val="28"/>
        </w:rPr>
      </w:pPr>
      <w:r>
        <w:rPr>
          <w:sz w:val="28"/>
          <w:szCs w:val="28"/>
        </w:rPr>
      </w:r>
    </w:p>
    <w:p>
      <w:pPr>
        <w:pStyle w:val="Normal"/>
        <w:rPr>
          <w:bCs/>
          <w:sz w:val="20"/>
          <w:szCs w:val="20"/>
        </w:rPr>
      </w:pPr>
      <w:r>
        <w:rPr>
          <w:bCs/>
          <w:sz w:val="20"/>
          <w:szCs w:val="20"/>
        </w:rPr>
      </w:r>
    </w:p>
    <w:p>
      <w:pPr>
        <w:pStyle w:val="Heading1"/>
        <w:ind w:hanging="0" w:start="0"/>
        <w:rPr>
          <w:bCs w:val="false"/>
          <w:sz w:val="20"/>
          <w:szCs w:val="20"/>
        </w:rPr>
      </w:pPr>
      <w:r>
        <w:rPr>
          <w:bCs w:val="false"/>
          <w:sz w:val="20"/>
          <w:szCs w:val="20"/>
        </w:rPr>
      </w:r>
    </w:p>
    <w:sectPr>
      <w:type w:val="nextPage"/>
      <w:pgSz w:w="11906" w:h="16838"/>
      <w:pgMar w:left="1077" w:right="707" w:gutter="0" w:header="0" w:top="352"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TimesNewRoman">
    <w:altName w:val="Bold"/>
    <w:charset w:val="cc" w:characterSet="windows-1251"/>
    <w:family w:val="auto"/>
    <w:pitch w:val="default"/>
  </w:font>
  <w:font w:name="Arial">
    <w:charset w:val="cc" w:characterSet="windows-1251"/>
    <w:family w:val="swiss"/>
    <w:pitch w:val="variable"/>
  </w:font>
  <w:font w:name="Courier New">
    <w:charset w:val="cc" w:characterSet="windows-1251"/>
    <w:family w:val="modern"/>
    <w:pitch w:val="default"/>
  </w:font>
  <w:font w:name="Wingdings">
    <w:charset w:val="02"/>
    <w:family w:val="auto"/>
    <w:pitch w:val="variable"/>
  </w:font>
  <w:font w:name="TimesNewRoman">
    <w:altName w:val="Times New Roman"/>
    <w:charset w:val="cc" w:characterSet="windows-1251"/>
    <w:family w:val="auto"/>
    <w:pitch w:val="default"/>
  </w:font>
  <w:font w:name="Tahoma">
    <w:charset w:val="cc" w:characterSet="windows-1251"/>
    <w:family w:val="swiss"/>
    <w:pitch w:val="variable"/>
  </w:font>
  <w:font w:name="Calibri">
    <w:charset w:val="cc" w:characterSet="windows-1251"/>
    <w:family w:val="swiss"/>
    <w:pitch w:val="variable"/>
  </w:font>
  <w:font w:name="TimesNewRoman">
    <w:altName w:val="Italic"/>
    <w:charset w:val="00" w:characterSet="windows-1252"/>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bidi="ar-SA" w:val="ru-RU" w:eastAsia="zh-CN"/>
    </w:rPr>
  </w:style>
  <w:style w:type="paragraph" w:styleId="Heading1">
    <w:name w:val="heading 1"/>
    <w:basedOn w:val="Normal"/>
    <w:next w:val="Normal"/>
    <w:qFormat/>
    <w:pPr>
      <w:keepNext w:val="true"/>
      <w:numPr>
        <w:ilvl w:val="0"/>
        <w:numId w:val="1"/>
      </w:numPr>
      <w:autoSpaceDE w:val="false"/>
      <w:jc w:val="center"/>
      <w:outlineLvl w:val="0"/>
    </w:pPr>
    <w:rPr>
      <w:rFonts w:ascii="TimesNewRoman,Bold;Times New Roman" w:hAnsi="TimesNewRoman,Bold;Times New Roman" w:cs="TimesNewRoman,Bold;Times New Roman"/>
      <w:b/>
      <w:bCs/>
    </w:rPr>
  </w:style>
  <w:style w:type="character" w:styleId="WW8Num1z0">
    <w:name w:val="WW8Num1z0"/>
    <w:qFormat/>
    <w:rPr/>
  </w:style>
  <w:style w:type="character" w:styleId="WW8Num2z0">
    <w:name w:val="WW8Num2z0"/>
    <w:qFormat/>
    <w:rPr>
      <w:rFonts w:ascii="Arial" w:hAnsi="Arial" w:eastAsia="Times New Roman"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style>
  <w:style w:type="character" w:styleId="WW8Num5z0">
    <w:name w:val="WW8Num5z0"/>
    <w:qFormat/>
    <w:rPr>
      <w:rFonts w:ascii="Wingdings" w:hAnsi="Wingdings" w:cs="Wingdings"/>
    </w:rPr>
  </w:style>
  <w:style w:type="character" w:styleId="WW8Num5z1">
    <w:name w:val="WW8Num5z1"/>
    <w:qFormat/>
    <w:rPr>
      <w:rFonts w:ascii="Symbol" w:hAnsi="Symbol" w:cs="Symbol"/>
    </w:rPr>
  </w:style>
  <w:style w:type="character" w:styleId="WW8Num5z4">
    <w:name w:val="WW8Num5z4"/>
    <w:qFormat/>
    <w:rPr>
      <w:rFonts w:ascii="Courier New" w:hAnsi="Courier New" w:cs="Courier New"/>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Symbol" w:hAnsi="Symbol" w:cs="Symbol"/>
    </w:rPr>
  </w:style>
  <w:style w:type="character" w:styleId="WW8Num7z4">
    <w:name w:val="WW8Num7z4"/>
    <w:qFormat/>
    <w:rPr>
      <w:rFonts w:ascii="Courier New" w:hAnsi="Courier New" w:cs="Courier New"/>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3z0">
    <w:name w:val="WW8Num13z0"/>
    <w:qFormat/>
    <w:rPr/>
  </w:style>
  <w:style w:type="character" w:styleId="WW8Num14z0">
    <w:name w:val="WW8Num14z0"/>
    <w:qFormat/>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Wingdings" w:hAnsi="Wingdings" w:cs="Wingdings"/>
    </w:rPr>
  </w:style>
  <w:style w:type="character" w:styleId="WW8Num16z1">
    <w:name w:val="WW8Num16z1"/>
    <w:qFormat/>
    <w:rPr>
      <w:rFonts w:ascii="Symbol" w:hAnsi="Symbol" w:cs="Symbol"/>
    </w:rPr>
  </w:style>
  <w:style w:type="character" w:styleId="WW8Num16z4">
    <w:name w:val="WW8Num16z4"/>
    <w:qFormat/>
    <w:rPr>
      <w:rFonts w:ascii="Courier New" w:hAnsi="Courier New" w:cs="Courier New"/>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style>
  <w:style w:type="character" w:styleId="Style13">
    <w:name w:val="Основной шрифт абзаца"/>
    <w:qFormat/>
    <w:rPr/>
  </w:style>
  <w:style w:type="character" w:styleId="1">
    <w:name w:val="Заголовок 1 Знак"/>
    <w:qFormat/>
    <w:rPr>
      <w:rFonts w:ascii="TimesNewRoman,Bold;Times New Roman" w:hAnsi="TimesNewRoman,Bold;Times New Roman" w:cs="TimesNewRoman,Bold;Times New Roman"/>
      <w:b/>
      <w:bCs/>
      <w:sz w:val="24"/>
      <w:szCs w:val="24"/>
    </w:rPr>
  </w:style>
  <w:style w:type="character" w:styleId="Style14">
    <w:name w:val="Название Знак"/>
    <w:qFormat/>
    <w:rPr>
      <w:rFonts w:ascii="TimesNewRoman,Bold;Times New Roman" w:hAnsi="TimesNewRoman,Bold;Times New Roman" w:cs="TimesNewRoman,Bold;Times New Roman"/>
      <w:b/>
      <w:bCs/>
      <w:sz w:val="24"/>
      <w:szCs w:val="24"/>
    </w:rPr>
  </w:style>
  <w:style w:type="character" w:styleId="Style15">
    <w:name w:val="Основной текст Знак"/>
    <w:qFormat/>
    <w:rPr>
      <w:rFonts w:ascii="TimesNewRoman;Times New Roman" w:hAnsi="TimesNewRoman;Times New Roman" w:cs="TimesNewRoman;Times New Roman"/>
      <w:sz w:val="24"/>
      <w:szCs w:val="24"/>
    </w:rPr>
  </w:style>
  <w:style w:type="character" w:styleId="Style16">
    <w:name w:val="Основной текст с отступом Знак"/>
    <w:qFormat/>
    <w:rPr>
      <w:rFonts w:ascii="TimesNewRoman;Times New Roman" w:hAnsi="TimesNewRoman;Times New Roman" w:cs="TimesNewRoman;Times New Roman"/>
      <w:sz w:val="21"/>
      <w:szCs w:val="24"/>
    </w:rPr>
  </w:style>
  <w:style w:type="character" w:styleId="2">
    <w:name w:val="Основной текст с отступом 2 Знак"/>
    <w:qFormat/>
    <w:rPr>
      <w:rFonts w:ascii="TimesNewRoman;Times New Roman" w:hAnsi="TimesNewRoman;Times New Roman" w:cs="TimesNewRoman;Times New Roman"/>
      <w:sz w:val="21"/>
      <w:szCs w:val="24"/>
    </w:rPr>
  </w:style>
  <w:style w:type="character" w:styleId="3">
    <w:name w:val="Основной текст с отступом 3 Знак"/>
    <w:qFormat/>
    <w:rPr>
      <w:rFonts w:ascii="TimesNewRoman;Times New Roman" w:hAnsi="TimesNewRoman;Times New Roman" w:cs="TimesNewRoman;Times New Roman"/>
      <w:sz w:val="24"/>
      <w:szCs w:val="24"/>
    </w:rPr>
  </w:style>
  <w:style w:type="paragraph" w:styleId="Style17">
    <w:name w:val="Заголовок"/>
    <w:basedOn w:val="Normal"/>
    <w:next w:val="BodyText"/>
    <w:qFormat/>
    <w:pPr>
      <w:autoSpaceDE w:val="false"/>
      <w:jc w:val="center"/>
    </w:pPr>
    <w:rPr>
      <w:rFonts w:ascii="TimesNewRoman,Bold;Times New Roman" w:hAnsi="TimesNewRoman,Bold;Times New Roman" w:cs="TimesNewRoman,Bold;Times New Roman"/>
      <w:b/>
      <w:bCs/>
    </w:rPr>
  </w:style>
  <w:style w:type="paragraph" w:styleId="BodyText">
    <w:name w:val="Body Text"/>
    <w:basedOn w:val="Normal"/>
    <w:pPr>
      <w:autoSpaceDE w:val="false"/>
      <w:jc w:val="both"/>
    </w:pPr>
    <w:rPr>
      <w:rFonts w:ascii="TimesNewRoman;Times New Roman" w:hAnsi="TimesNewRoman;Times New Roman" w:cs="TimesNewRoman;Times New Roman"/>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Style19">
    <w:name w:val="Обычный (веб)"/>
    <w:basedOn w:val="Normal"/>
    <w:qFormat/>
    <w:pPr>
      <w:spacing w:before="280" w:after="280"/>
    </w:pPr>
    <w:rPr/>
  </w:style>
  <w:style w:type="paragraph" w:styleId="BodyTextIndent">
    <w:name w:val="Body Text Indent"/>
    <w:basedOn w:val="Normal"/>
    <w:pPr>
      <w:autoSpaceDE w:val="false"/>
      <w:ind w:firstLine="708" w:start="0" w:end="0"/>
    </w:pPr>
    <w:rPr>
      <w:rFonts w:ascii="TimesNewRoman;Times New Roman" w:hAnsi="TimesNewRoman;Times New Roman" w:cs="TimesNewRoman;Times New Roman"/>
      <w:sz w:val="21"/>
    </w:rPr>
  </w:style>
  <w:style w:type="paragraph" w:styleId="21">
    <w:name w:val="Основной текст с отступом 2"/>
    <w:basedOn w:val="Normal"/>
    <w:qFormat/>
    <w:pPr>
      <w:autoSpaceDE w:val="false"/>
      <w:ind w:firstLine="708" w:start="0" w:end="0"/>
      <w:jc w:val="both"/>
    </w:pPr>
    <w:rPr>
      <w:rFonts w:ascii="TimesNewRoman;Times New Roman" w:hAnsi="TimesNewRoman;Times New Roman" w:cs="TimesNewRoman;Times New Roman"/>
      <w:sz w:val="21"/>
    </w:rPr>
  </w:style>
  <w:style w:type="paragraph" w:styleId="31">
    <w:name w:val="Основной текст с отступом 3"/>
    <w:basedOn w:val="Normal"/>
    <w:qFormat/>
    <w:pPr>
      <w:autoSpaceDE w:val="false"/>
      <w:ind w:firstLine="708" w:start="0" w:end="0"/>
      <w:jc w:val="both"/>
    </w:pPr>
    <w:rPr>
      <w:rFonts w:ascii="TimesNewRoman;Times New Roman" w:hAnsi="TimesNewRoman;Times New Roman" w:cs="TimesNewRoman;Times New Roman"/>
    </w:rPr>
  </w:style>
  <w:style w:type="paragraph" w:styleId="ConsPlusNonformat">
    <w:name w:val="ConsPlusNonformat"/>
    <w:qFormat/>
    <w:pPr>
      <w:widowControl w:val="false"/>
      <w:autoSpaceDE w:val="false"/>
      <w:bidi w:val="0"/>
    </w:pPr>
    <w:rPr>
      <w:rFonts w:ascii="Courier New" w:hAnsi="Courier New" w:eastAsia="Times New Roman" w:cs="Courier New"/>
      <w:color w:val="auto"/>
      <w:sz w:val="20"/>
      <w:szCs w:val="20"/>
      <w:lang w:bidi="ar-SA" w:val="ru-RU" w:eastAsia="zh-CN"/>
    </w:rPr>
  </w:style>
  <w:style w:type="paragraph" w:styleId="ConsPlusCell">
    <w:name w:val="ConsPlusCell"/>
    <w:qFormat/>
    <w:pPr>
      <w:widowControl w:val="false"/>
      <w:autoSpaceDE w:val="false"/>
      <w:bidi w:val="0"/>
    </w:pPr>
    <w:rPr>
      <w:rFonts w:ascii="Arial" w:hAnsi="Arial" w:eastAsia="Times New Roman" w:cs="Arial"/>
      <w:color w:val="auto"/>
      <w:sz w:val="20"/>
      <w:szCs w:val="20"/>
      <w:lang w:bidi="ar-SA" w:val="ru-RU" w:eastAsia="zh-CN"/>
    </w:rPr>
  </w:style>
  <w:style w:type="paragraph" w:styleId="Style20">
    <w:name w:val="Текст выноски"/>
    <w:basedOn w:val="Normal"/>
    <w:qFormat/>
    <w:pPr/>
    <w:rPr>
      <w:rFonts w:ascii="Tahoma" w:hAnsi="Tahoma" w:cs="Tahoma"/>
      <w:sz w:val="16"/>
      <w:szCs w:val="16"/>
    </w:rPr>
  </w:style>
  <w:style w:type="paragraph" w:styleId="ConsPlusNormal">
    <w:name w:val="ConsPlusNormal"/>
    <w:qFormat/>
    <w:pPr>
      <w:widowControl/>
      <w:autoSpaceDE w:val="false"/>
      <w:bidi w:val="0"/>
    </w:pPr>
    <w:rPr>
      <w:rFonts w:ascii="Calibri" w:hAnsi="Calibri" w:eastAsia="Times New Roman" w:cs="Calibri"/>
      <w:color w:val="auto"/>
      <w:sz w:val="22"/>
      <w:szCs w:val="22"/>
      <w:lang w:bidi="ar-SA" w:val="ru-RU" w:eastAsia="zh-CN"/>
    </w:rPr>
  </w:style>
  <w:style w:type="paragraph" w:styleId="ListParagraph">
    <w:name w:val="List Paragraph"/>
    <w:basedOn w:val="Normal"/>
    <w:qFormat/>
    <w:pPr>
      <w:spacing w:lineRule="auto" w:line="252" w:before="0" w:after="160"/>
      <w:ind w:hanging="0" w:start="720" w:end="0"/>
      <w:contextualSpacing/>
    </w:pPr>
    <w:rPr>
      <w:rFonts w:ascii="Calibri" w:hAnsi="Calibri" w:cs="Calibri"/>
      <w:sz w:val="22"/>
      <w:szCs w:val="22"/>
    </w:rPr>
  </w:style>
  <w:style w:type="paragraph" w:styleId="ConsPlusTitle">
    <w:name w:val="ConsPlusTitle"/>
    <w:qFormat/>
    <w:pPr>
      <w:widowControl w:val="false"/>
      <w:autoSpaceDE w:val="false"/>
      <w:bidi w:val="0"/>
    </w:pPr>
    <w:rPr>
      <w:rFonts w:ascii="Calibri" w:hAnsi="Calibri" w:eastAsia="Times New Roman" w:cs="Calibri"/>
      <w:b/>
      <w:color w:val="auto"/>
      <w:sz w:val="22"/>
      <w:szCs w:val="20"/>
      <w:lang w:bidi="ar-SA" w:val="ru-RU" w:eastAsia="zh-CN"/>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86</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2020-08-13T15:50:00Z</dcterms:created>
  <dc:creator>МУП БГО ВО «Борисоглебские теплосети»</dc:creator>
  <dc:description/>
  <cp:keywords/>
  <dc:language>ru-RU</dc:language>
  <cp:lastModifiedBy>МУП БГО ВО «Борисоглебские теплосети»</cp:lastModifiedBy>
  <cp:lastPrinted>2018-01-26T14:24:00Z</cp:lastPrinted>
  <dcterms:modified xsi:type="dcterms:W3CDTF">2026-10-12T11:35:00Z</dcterms:modified>
  <cp:revision>17</cp:revision>
  <dc:subject/>
  <dc:title>ДОГОВОР ТЕПЛОСНАБЖЕНИЯ № ___________</dc:title>
</cp:coreProperties>
</file>