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jc w:val="end"/>
        <w:rPr>
          <w:rFonts w:ascii="TimesNewRoman,Bold;Times New Roman" w:hAnsi="TimesNewRoman,Bold;Times New Roman" w:cs="TimesNewRoman,Bold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</w:r>
    </w:p>
    <w:p>
      <w:pPr>
        <w:pStyle w:val="Style16"/>
        <w:rPr>
          <w:sz w:val="28"/>
          <w:szCs w:val="28"/>
        </w:rPr>
      </w:pPr>
      <w:r>
        <w:rPr>
          <w:sz w:val="28"/>
          <w:szCs w:val="28"/>
        </w:rPr>
        <w:t xml:space="preserve">ДОГОВОР № </w:t>
      </w:r>
    </w:p>
    <w:p>
      <w:pPr>
        <w:pStyle w:val="Style16"/>
        <w:rPr>
          <w:i/>
        </w:rPr>
      </w:pPr>
      <w:r>
        <w:rPr/>
        <w:t>на отпуск тепловой энергии и горячей воды собственнику (пользователю) жилого помещения в многоквартирном доме (частного домовладения) №______</w:t>
      </w:r>
    </w:p>
    <w:p>
      <w:pPr>
        <w:pStyle w:val="Style16"/>
        <w:rPr>
          <w:i/>
        </w:rPr>
      </w:pPr>
      <w:r>
        <w:rPr>
          <w:i/>
        </w:rPr>
      </w:r>
    </w:p>
    <w:p>
      <w:pPr>
        <w:pStyle w:val="Normal"/>
        <w:autoSpaceDE w:val="false"/>
        <w:jc w:val="both"/>
        <w:rPr>
          <w:rFonts w:ascii="TimesNewRoman,Bold;Times New Roman" w:hAnsi="TimesNewRoman,Bold;Times New Roman" w:cs="TimesNewRoman,Bold;Times New Roman"/>
          <w:bCs/>
          <w:sz w:val="20"/>
          <w:szCs w:val="20"/>
        </w:rPr>
      </w:pPr>
      <w:r>
        <w:rPr>
          <w:rFonts w:cs="TimesNewRoman;Times New Roman" w:ascii="TimesNewRoman;Times New Roman" w:hAnsi="TimesNewRoman;Times New Roman"/>
          <w:b/>
          <w:sz w:val="22"/>
          <w:szCs w:val="22"/>
        </w:rPr>
        <w:t xml:space="preserve"> </w:t>
      </w:r>
      <w:r>
        <w:rPr>
          <w:rFonts w:cs="TimesNewRoman,Bold;Times New Roman" w:ascii="TimesNewRoman,Bold;Times New Roman" w:hAnsi="TimesNewRoman,Bold;Times New Roman"/>
          <w:b/>
          <w:bCs/>
          <w:sz w:val="22"/>
          <w:szCs w:val="22"/>
        </w:rPr>
        <w:t>«    »                     20___ г.</w:t>
      </w:r>
      <w:r>
        <w:rPr>
          <w:rFonts w:cs="TimesNewRoman,Bold;Times New Roman" w:ascii="TimesNewRoman,Bold;Times New Roman" w:hAnsi="TimesNewRoman,Bold;Times New Roman"/>
          <w:bCs/>
          <w:sz w:val="22"/>
          <w:szCs w:val="22"/>
        </w:rPr>
        <w:tab/>
        <w:tab/>
        <w:tab/>
        <w:tab/>
        <w:tab/>
        <w:tab/>
        <w:tab/>
        <w:tab/>
        <w:tab/>
        <w:t xml:space="preserve">      </w:t>
      </w:r>
      <w:r>
        <w:rPr>
          <w:rFonts w:cs="TimesNewRoman,Bold;Times New Roman" w:ascii="TimesNewRoman,Bold;Times New Roman" w:hAnsi="TimesNewRoman,Bold;Times New Roman"/>
          <w:b/>
          <w:bCs/>
          <w:sz w:val="22"/>
          <w:szCs w:val="22"/>
        </w:rPr>
        <w:t xml:space="preserve">г. Борисоглебск</w:t>
      </w:r>
    </w:p>
    <w:p>
      <w:pPr>
        <w:pStyle w:val="Normal"/>
        <w:autoSpaceDE w:val="false"/>
        <w:jc w:val="both"/>
        <w:rPr>
          <w:rFonts w:ascii="TimesNewRoman,Bold;Times New Roman" w:hAnsi="TimesNewRoman,Bold;Times New Roman" w:cs="TimesNewRoman,Bold;Times New Roman"/>
          <w:bCs/>
          <w:sz w:val="21"/>
          <w:szCs w:val="20"/>
        </w:rPr>
      </w:pPr>
      <w:r>
        <w:rPr>
          <w:rFonts w:cs="TimesNewRoman,Bold;Times New Roman" w:ascii="TimesNewRoman,Bold;Times New Roman" w:hAnsi="TimesNewRoman,Bold;Times New Roman"/>
          <w:bCs/>
          <w:sz w:val="21"/>
          <w:szCs w:val="20"/>
        </w:rPr>
      </w:r>
    </w:p>
    <w:p>
      <w:pPr>
        <w:pStyle w:val="Normal"/>
        <w:autoSpaceDE w:val="false"/>
        <w:ind w:firstLine="708" w:end="0"/>
        <w:jc w:val="both"/>
        <w:rPr>
          <w:rFonts w:ascii="TimesNewRoman;Times New Roman" w:hAnsi="TimesNewRoman;Times New Roman" w:cs="TimesNewRoman;Times New Roman"/>
          <w:sz w:val="21"/>
          <w:szCs w:val="21"/>
        </w:rPr>
      </w:pPr>
      <w:r>
        <w:rPr>
          <w:rFonts w:cs="TimesNewRoman;Times New Roman" w:ascii="TimesNewRoman;Times New Roman" w:hAnsi="TimesNewRoman;Times New Roman"/>
          <w:sz w:val="21"/>
          <w:szCs w:val="21"/>
        </w:rPr>
        <w:t xml:space="preserve">Муниципальное унитарное предприятие Борисоглебского городского округа Воронежской области «Борисоглебские теплосети», именуемое в дальнейшем “Энергоснабжающая организация”, в лице директора Егоровой Анжелы Анатольевны, действующей на основании Устава, с одной стороны, и _______________________</w:t>
      </w:r>
      <w:r>
        <w:rPr>
          <w:sz w:val="21"/>
          <w:szCs w:val="21"/>
        </w:rPr>
        <w:t xml:space="preserve">, именуемый в дальнейшем «Абонент», паспорт: серия ____________ №________, выдан ___________________________, дата выдачи _______________, код подразделения ________________, зарегистрированный по адресу: ________________________, </w:t>
      </w:r>
      <w:r>
        <w:rPr>
          <w:rFonts w:cs="TimesNewRoman;Times New Roman" w:ascii="TimesNewRoman;Times New Roman" w:hAnsi="TimesNewRoman;Times New Roman"/>
          <w:sz w:val="21"/>
          <w:szCs w:val="21"/>
        </w:rPr>
        <w:t xml:space="preserve">с другой стороны, </w:t>
      </w:r>
      <w:r>
        <w:rPr>
          <w:rFonts w:cs="TimesNewRoman,Italic;Times New Roman" w:ascii="TimesNewRoman,Italic;Times New Roman" w:hAnsi="TimesNewRoman,Italic;Times New Roman"/>
          <w:iCs/>
          <w:sz w:val="21"/>
          <w:szCs w:val="21"/>
        </w:rPr>
        <w:t xml:space="preserve">заключили настоящий договор </w:t>
      </w:r>
      <w:r>
        <w:rPr>
          <w:rFonts w:cs="TimesNewRoman;Times New Roman" w:ascii="TimesNewRoman;Times New Roman" w:hAnsi="TimesNewRoman;Times New Roman"/>
          <w:sz w:val="21"/>
          <w:szCs w:val="21"/>
        </w:rPr>
        <w:t>о нижеследующем:</w:t>
      </w:r>
    </w:p>
    <w:p>
      <w:pPr>
        <w:pStyle w:val="Normal"/>
        <w:autoSpaceDE w:val="false"/>
        <w:ind w:firstLine="708" w:end="0"/>
        <w:jc w:val="both"/>
        <w:rPr>
          <w:rFonts w:ascii="TimesNewRoman;Times New Roman" w:hAnsi="TimesNewRoman;Times New Roman" w:cs="TimesNewRoman;Times New Roman"/>
          <w:sz w:val="21"/>
          <w:szCs w:val="21"/>
        </w:rPr>
      </w:pPr>
      <w:r>
        <w:rPr>
          <w:rFonts w:cs="TimesNewRoman;Times New Roman" w:ascii="TimesNewRoman;Times New Roman" w:hAnsi="TimesNewRoman;Times New Roman"/>
          <w:sz w:val="21"/>
          <w:szCs w:val="21"/>
        </w:rPr>
      </w:r>
    </w:p>
    <w:p>
      <w:pPr>
        <w:pStyle w:val="Heading1"/>
        <w:ind w:hanging="0" w:start="0"/>
        <w:rPr>
          <w:sz w:val="21"/>
          <w:szCs w:val="21"/>
        </w:rPr>
      </w:pPr>
      <w:r>
        <w:rPr>
          <w:sz w:val="21"/>
          <w:szCs w:val="21"/>
        </w:rPr>
        <w:t>I. ПРЕДМЕТ ДОГОВОРА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BodyText"/>
        <w:ind w:firstLine="708" w:end="0"/>
        <w:rPr/>
      </w:pPr>
      <w:r>
        <w:rPr>
          <w:rFonts w:cs="Times New Roman" w:ascii="Times New Roman" w:hAnsi="Times New Roman"/>
          <w:sz w:val="21"/>
          <w:szCs w:val="21"/>
        </w:rPr>
        <w:t xml:space="preserve">1.1 По настоящему договору «Энергоснабжающая организация» (далее «ЭСО») обеспечивает по централизованным сетям теплоснабжения и горячего водоснабжения отпуск тепловой энергии и горячей воды для целей предоставления коммунальных услуг по отоплению и горячему водоснабжению, а «Абонент» обязуется принять, использовать по назначению, своевременно, а также в полном объеме оплачивать отпущенные коммунальные ресурсы. 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1.2 Границы эксплуатационной ответственности (балансовой принадлежности) устанавливаются в соответствии с Приложением №2.</w:t>
      </w:r>
    </w:p>
    <w:p>
      <w:pPr>
        <w:pStyle w:val="BodyText"/>
        <w:ind w:firstLine="540" w:end="0"/>
        <w:rPr/>
      </w:pPr>
      <w:r>
        <w:rPr>
          <w:rFonts w:cs="Times New Roman" w:ascii="Times New Roman" w:hAnsi="Times New Roman"/>
          <w:sz w:val="21"/>
          <w:szCs w:val="21"/>
        </w:rPr>
        <w:t>1.3.</w:t>
      </w:r>
      <w:r>
        <w:rPr>
          <w:sz w:val="21"/>
          <w:szCs w:val="21"/>
        </w:rPr>
        <w:t xml:space="preserve"> При выполнении настоящего договора, а также по всем вопросам, не оговоренным настоящим договором, Стороны обязуются руководствоваться Федеральным законом от 27.07.2009 № 190-ФЗ «О теплоснабжении», Постановлением Правительства РФ № 124 от 14.02.2012г  "О правилах, обязательных при заключении договоров снабжения коммунальными ресурсами" (вместе с "Правилами,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организациями"), Правилами организации теплоснабжения в Российской Федерации, утвержденными 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(далее - Правила организации теплоснабжения), Гражданским кодексом РФ, Федеральным законом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Правилами коммерческого учета тепловой энергии, утвержденных постановлением Правительства РФ от 18.11.2013 № 1034 (далее - Правила коммерческого учета тепловой энергии, теплоносителя), Методикой осуществления коммерческого учета тепловой энергии, утвержденной Приказом Минстроя России от 17.03.2014 № 99/пр, Правилами технической эксплуатации энергоустановок, утвержденными Приказом Минэнерго РФ от 24.03.2003 № 115 и иные нормативные правовые акты, в том числе субъектов Российской Федерации.</w:t>
      </w:r>
    </w:p>
    <w:p>
      <w:pPr>
        <w:pStyle w:val="Bodytext21"/>
        <w:shd w:fill="auto" w:val="clear"/>
        <w:spacing w:lineRule="exact" w:line="259"/>
        <w:ind w:firstLine="360" w:end="0"/>
        <w:jc w:val="both"/>
        <w:rPr>
          <w:sz w:val="21"/>
          <w:szCs w:val="21"/>
        </w:rPr>
      </w:pPr>
      <w:r>
        <w:rPr>
          <w:sz w:val="21"/>
          <w:szCs w:val="21"/>
        </w:rPr>
        <w:t>В случае внесения изменений в вышеуказанные нормативные акты, а также в случае принятия новых нормативных актов, регулирующих отношения между Сторонами, внесения соответствующих изменений в настоящий договор не требуется. В случае, если положения настоящего договора противоречат нормам действующего законодательства, Стороны руководствуются нормами действующего законодательства.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</w:r>
    </w:p>
    <w:p>
      <w:pPr>
        <w:pStyle w:val="Heading1"/>
        <w:ind w:hanging="0" w:start="0"/>
        <w:rPr>
          <w:sz w:val="21"/>
          <w:szCs w:val="21"/>
        </w:rPr>
      </w:pPr>
      <w:r>
        <w:rPr>
          <w:sz w:val="21"/>
          <w:szCs w:val="21"/>
        </w:rPr>
        <w:t>II. ПРАВА И ОБЯЗАННОСТИ СТОРОН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ind w:firstLine="708" w:end="0"/>
        <w:rPr>
          <w:b/>
          <w:sz w:val="21"/>
          <w:szCs w:val="21"/>
        </w:rPr>
      </w:pPr>
      <w:r>
        <w:rPr>
          <w:b/>
          <w:sz w:val="21"/>
          <w:szCs w:val="21"/>
        </w:rPr>
        <w:t>2.1 «ЭСО» обязана: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2.1.1 Подавать «Абоненту» тепловую энергию и горячую воду до границы раздела внутридомовых инженерных систем и централизованных сетей инженерно-технического обеспечения, в соответствии с установленными настоящим договором величинами теплопотребления (Приложение №1) с поправкой на фактическую температуру наружного воздуха, согласно данным Гидрометцентра.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2.1.2 Отпускать тепловую энергию и горячую воду надлежащего качества, безопасную для жизни и здоровья «Абонента» и не причиняющую вреда имуществу, в соответствии с требованиями законодательства РФ.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2.1.3 Величина тепловой нагрузки теплопотребляющих установок «Абонента», объемы и режим поставки тепловой энергии, установленные в Приложении №1 обеспечивают Абоненту возможность предоставления коммунальных услуг по отоплению и горячему водоснабжению, в соответствии с требованиями, предусмотренными Правилами предоставления коммунальных услуг, действующими в РФ.</w:t>
      </w:r>
    </w:p>
    <w:p>
      <w:pPr>
        <w:pStyle w:val="BodyText"/>
        <w:ind w:start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2.1.4 Уведомлять «Абонента» о начале, сроках, причинах перерывов в подаче тепловой энергии:</w:t>
      </w:r>
    </w:p>
    <w:p>
      <w:pPr>
        <w:pStyle w:val="BodyText"/>
        <w:numPr>
          <w:ilvl w:val="0"/>
          <w:numId w:val="9"/>
        </w:numPr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не менее, чем за 10 дней при производстве планового ремонта, а также в иных случаях прекращения полностью или частичного отпуска тепловой энергии;</w:t>
      </w:r>
    </w:p>
    <w:p>
      <w:pPr>
        <w:pStyle w:val="BodyText"/>
        <w:numPr>
          <w:ilvl w:val="0"/>
          <w:numId w:val="6"/>
        </w:numPr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за 24 часа в любое время года, при производстве внепланового ремонта;</w:t>
      </w:r>
    </w:p>
    <w:p>
      <w:pPr>
        <w:pStyle w:val="BodyText"/>
        <w:numPr>
          <w:ilvl w:val="0"/>
          <w:numId w:val="2"/>
        </w:numPr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 xml:space="preserve">в случае аварийной ситуации, повлекшей перерыв (ограничение) теплоснабжения – незамедлительно. 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2.1.5 Своевременно и оперативно принимать меры по устранению нарушения режима теплопотребления после выявления причин и информировать «Абонента» о причинах и сроках прекращения или нарушения режима теплоснабжения.</w:t>
      </w:r>
    </w:p>
    <w:p>
      <w:pPr>
        <w:pStyle w:val="Normal"/>
        <w:ind w:firstLine="709" w:end="0"/>
        <w:jc w:val="both"/>
        <w:rPr>
          <w:sz w:val="21"/>
          <w:szCs w:val="21"/>
        </w:rPr>
      </w:pPr>
      <w:r>
        <w:rPr>
          <w:sz w:val="21"/>
          <w:szCs w:val="21"/>
        </w:rPr>
        <w:t>2.1.6 Направлять своего представителя для участия в оформлении актов о фактах и (или) причинах снижения качества тепловой энергии, нарушения режима отпуска тепловой энергии в срок, указанный «Абонентом» в телефонограмме, но не позднее чем через 24 часа после ее получения (кроме общевыходных дней).</w:t>
      </w:r>
    </w:p>
    <w:p>
      <w:pPr>
        <w:pStyle w:val="Normal"/>
        <w:ind w:firstLine="709" w:end="0"/>
        <w:jc w:val="both"/>
        <w:rPr>
          <w:sz w:val="21"/>
          <w:szCs w:val="21"/>
        </w:rPr>
      </w:pPr>
      <w:r>
        <w:rPr>
          <w:sz w:val="21"/>
          <w:szCs w:val="21"/>
        </w:rPr>
        <w:t>По выявленным фактам составляется Акт, который подписывается обеими сторонами. Немотивированный отказ одной из сторон от подписания акта не влияет на его действительность.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2.1.7 Назначить для постоянной связи с «Абонентом» и решения вопросов, связанных с теплоснабжением объекта уполномоченных лиц, предоставив, по запросу «Абонента», соответствующие сведения о них.</w:t>
      </w:r>
    </w:p>
    <w:p>
      <w:pPr>
        <w:pStyle w:val="Normal"/>
        <w:autoSpaceDE w:val="false"/>
        <w:ind w:firstLine="720" w:end="0"/>
        <w:jc w:val="both"/>
        <w:rPr/>
      </w:pPr>
      <w:r>
        <w:rPr>
          <w:sz w:val="21"/>
          <w:szCs w:val="21"/>
        </w:rPr>
        <w:t>2.1.8 Выдавать решение о допуске в эксплуатацию индивидуального прибора учета, не позднее 10 дней с момента подачи заявки.</w:t>
      </w:r>
    </w:p>
    <w:p>
      <w:pPr>
        <w:pStyle w:val="Normal"/>
        <w:autoSpaceDE w:val="false"/>
        <w:ind w:firstLine="708" w:end="0"/>
        <w:jc w:val="both"/>
        <w:rPr>
          <w:rFonts w:ascii="TimesNewRoman;Times New Roman" w:hAnsi="TimesNewRoman;Times New Roman" w:cs="TimesNewRoman;Times New Roman"/>
          <w:b/>
          <w:sz w:val="21"/>
          <w:szCs w:val="21"/>
        </w:rPr>
      </w:pPr>
      <w:r>
        <w:rPr>
          <w:rFonts w:cs="TimesNewRoman;Times New Roman" w:ascii="TimesNewRoman;Times New Roman" w:hAnsi="TimesNewRoman;Times New Roman"/>
          <w:b/>
          <w:sz w:val="21"/>
          <w:szCs w:val="21"/>
        </w:rPr>
        <w:t>2.2 «ЭСО» имеет право:</w:t>
      </w:r>
    </w:p>
    <w:p>
      <w:pPr>
        <w:pStyle w:val="Normal"/>
        <w:autoSpaceDE w:val="false"/>
        <w:ind w:firstLine="720" w:end="0"/>
        <w:jc w:val="both"/>
        <w:rPr/>
      </w:pPr>
      <w:r>
        <w:rPr>
          <w:iCs/>
          <w:sz w:val="21"/>
          <w:szCs w:val="21"/>
        </w:rPr>
        <w:t xml:space="preserve">2.2.1 Приостановить или ограничить подачу тепловой энергии в порядке и сроки, предусмотренными Правилами предоставления коммунальных услуг, </w:t>
      </w:r>
      <w:r>
        <w:rPr>
          <w:sz w:val="21"/>
          <w:szCs w:val="21"/>
        </w:rPr>
        <w:t>действующими в РФ</w:t>
      </w:r>
      <w:r>
        <w:rPr>
          <w:iCs/>
          <w:sz w:val="21"/>
          <w:szCs w:val="21"/>
        </w:rPr>
        <w:t xml:space="preserve">. </w:t>
      </w:r>
    </w:p>
    <w:p>
      <w:pPr>
        <w:pStyle w:val="Normal"/>
        <w:autoSpaceDE w:val="false"/>
        <w:ind w:firstLine="708" w:end="0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>Возобновление отпуска тепловой энергии производится в течение двух календарных дней с момента устранения вышеперечисленных причин, в том числе с момента полного погашения задолженности.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2.2.2 Отключить и опломбировать самовольно присоединенную к тепловым сетям теплопотребляющую установку и предъявить к их владельцу претензии и санкции, установленные законодательством. При этом самовольно присоединившийся потребитель обязан оплатить использованные тепловую энергию и теплоноситель за весь период со дня начала их фактического потребления. Если дату начала использования тепловой энергии и теплоносителя установить невозможно, то оплата производится со дня начала отопительного сезона.</w:t>
      </w:r>
    </w:p>
    <w:p>
      <w:pPr>
        <w:pStyle w:val="BodyText"/>
        <w:ind w:firstLine="708" w:end="0"/>
        <w:rPr/>
      </w:pPr>
      <w:r>
        <w:rPr>
          <w:rFonts w:cs="Times New Roman" w:ascii="Times New Roman" w:hAnsi="Times New Roman"/>
          <w:sz w:val="21"/>
          <w:szCs w:val="21"/>
        </w:rPr>
        <w:t>2.2.3 Допускать перерывы теплоснабжения в следующих случаях:</w:t>
      </w:r>
    </w:p>
    <w:p>
      <w:pPr>
        <w:pStyle w:val="BodyText"/>
        <w:numPr>
          <w:ilvl w:val="0"/>
          <w:numId w:val="7"/>
        </w:numPr>
        <w:ind w:hanging="0" w:start="720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при проведении «ЭСО» ремонта тепловой сети, котельного оборудования и водонагревателей в летний период в соответствии с Постановлением администрации Борисоглебского городского округа;</w:t>
      </w:r>
    </w:p>
    <w:p>
      <w:pPr>
        <w:pStyle w:val="BodyText"/>
        <w:numPr>
          <w:ilvl w:val="0"/>
          <w:numId w:val="4"/>
        </w:numPr>
        <w:ind w:hanging="0" w:start="720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при форс-мажорных обстоятельствах.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2.2.4 Производить прекращение или ограничение отпуска тепловой энергии «Абоненту» без соответствующего его предупреждения, с последующим уведомлением в течение суток, в случаях:</w:t>
      </w:r>
    </w:p>
    <w:p>
      <w:pPr>
        <w:pStyle w:val="Normal"/>
        <w:numPr>
          <w:ilvl w:val="0"/>
          <w:numId w:val="5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необходимости принятия неотложных мер по предотвращению или ликвидации аварии на теплоисточниках и тепловых сетях «ЭСО».</w:t>
      </w:r>
    </w:p>
    <w:p>
      <w:pPr>
        <w:pStyle w:val="Normal"/>
        <w:numPr>
          <w:ilvl w:val="0"/>
          <w:numId w:val="5"/>
        </w:numPr>
        <w:autoSpaceDE w:val="false"/>
        <w:jc w:val="both"/>
        <w:rPr>
          <w:iCs/>
          <w:sz w:val="21"/>
          <w:szCs w:val="21"/>
        </w:rPr>
      </w:pPr>
      <w:r>
        <w:rPr>
          <w:sz w:val="21"/>
          <w:szCs w:val="21"/>
        </w:rPr>
        <w:t>Аварийного прекращения поставки энергоносителей (газ, электроэнергия, вода) со стороны поставщиков.</w:t>
      </w:r>
    </w:p>
    <w:p>
      <w:pPr>
        <w:pStyle w:val="Normal"/>
        <w:numPr>
          <w:ilvl w:val="0"/>
          <w:numId w:val="5"/>
        </w:numPr>
        <w:autoSpaceDE w:val="false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 xml:space="preserve"> </w:t>
      </w:r>
      <w:r>
        <w:rPr>
          <w:iCs/>
          <w:sz w:val="21"/>
          <w:szCs w:val="21"/>
        </w:rPr>
        <w:t>Документально удостоверенного факта неудовлетворительного состояния систем теплопотребления «Абонента», угрожающего аварией или создающего угрозу для жизни людей.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2.2.5 Осуществлять контроль за работой индивидуальных приборов учета «Абонента», проверку правильности снятия Абонентом показаний приборов учета, целостность их пломб.</w:t>
      </w:r>
    </w:p>
    <w:p>
      <w:pPr>
        <w:pStyle w:val="BodyText"/>
        <w:ind w:firstLine="708" w:end="0"/>
        <w:rPr/>
      </w:pPr>
      <w:r>
        <w:rPr>
          <w:rFonts w:cs="Times New Roman" w:ascii="Times New Roman" w:hAnsi="Times New Roman"/>
          <w:sz w:val="21"/>
          <w:szCs w:val="21"/>
        </w:rPr>
        <w:t xml:space="preserve">При обнаружении факта передачи «Абонентом» недостоверных показаний приборов учета, «ЭСО» имеет право на проведение перерасчета начислений за отпущенную тепловую энергию за весь период. 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 xml:space="preserve">2.2.6 Вводить в действие согласованные с администрацией города графики ограничения и отключения тепловой энергии в случае ограничения поставки топлива со стороны поставщиков.   </w:t>
      </w:r>
    </w:p>
    <w:p>
      <w:pPr>
        <w:pStyle w:val="BodyText"/>
        <w:ind w:firstLine="708" w:end="0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2.2.7 В одностороннем порядке, путем направления уведомления «Абоненту», изменять свои банковские реквизиты, указанные в настоящем договоре.</w:t>
      </w:r>
    </w:p>
    <w:p>
      <w:pPr>
        <w:pStyle w:val="BodyText"/>
        <w:ind w:firstLine="708" w:end="0"/>
        <w:rPr/>
      </w:pPr>
      <w:r>
        <w:rPr>
          <w:rFonts w:cs="Times New Roman" w:ascii="Times New Roman" w:hAnsi="Times New Roman"/>
          <w:sz w:val="21"/>
          <w:szCs w:val="21"/>
        </w:rPr>
        <w:t>2.2.8 Выдавать обязательные для исполнения «Абонентом» предписания и акты по устранению нарушений в системах теплопотребления «Абонента».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2.2.9 Отказать «Абоненту» в приеме показаний прибора учета тепловой энергии (горячей воды) и произвести расчет в соответствии с п.5.2. настоящего договора в следующих случаях:</w:t>
      </w:r>
    </w:p>
    <w:p>
      <w:pPr>
        <w:pStyle w:val="Normal"/>
        <w:numPr>
          <w:ilvl w:val="0"/>
          <w:numId w:val="8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Прибор учета «Абонента» не был допущен в эксплуатацию «ЭСО», в том числе из-за нарушений в организации учета потребления тепловой энергии и теплоносителя;</w:t>
      </w:r>
    </w:p>
    <w:p>
      <w:pPr>
        <w:pStyle w:val="Normal"/>
        <w:numPr>
          <w:ilvl w:val="0"/>
          <w:numId w:val="8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«Абонент» в установленный срок не исполнил предписания «ЭСО» по устранению недостатков в организации и ведении учета;</w:t>
      </w:r>
    </w:p>
    <w:p>
      <w:pPr>
        <w:pStyle w:val="Normal"/>
        <w:numPr>
          <w:ilvl w:val="0"/>
          <w:numId w:val="8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при выявлении представителем «ЭСО» нарушении целостности пломб на приборах или другом оборудовании узла учета, ранее установленных «ЭСО»;</w:t>
      </w:r>
    </w:p>
    <w:p>
      <w:pPr>
        <w:pStyle w:val="Normal"/>
        <w:numPr>
          <w:ilvl w:val="0"/>
          <w:numId w:val="8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учет теплопотребления осуществляется с применением в составе прибора учета средства измерения с истекшим сроком действия поверки.</w:t>
      </w:r>
    </w:p>
    <w:p>
      <w:pPr>
        <w:pStyle w:val="Normal"/>
        <w:numPr>
          <w:ilvl w:val="2"/>
          <w:numId w:val="3"/>
        </w:numPr>
        <w:autoSpaceDE w:val="false"/>
        <w:jc w:val="both"/>
        <w:rPr>
          <w:sz w:val="20"/>
          <w:szCs w:val="20"/>
        </w:rPr>
      </w:pPr>
      <w:r>
        <w:rPr>
          <w:sz w:val="21"/>
          <w:szCs w:val="21"/>
        </w:rPr>
        <w:t>Контролировать выполнение «Абонентом» режимов, установленных настоящим договором.</w:t>
      </w:r>
    </w:p>
    <w:p>
      <w:pPr>
        <w:pStyle w:val="BodyText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</w:r>
    </w:p>
    <w:p>
      <w:pPr>
        <w:pStyle w:val="BodyText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en-US"/>
        </w:rPr>
        <w:t>III</w:t>
      </w:r>
      <w:r>
        <w:rPr>
          <w:b/>
          <w:sz w:val="21"/>
          <w:szCs w:val="21"/>
        </w:rPr>
        <w:t>. ПРАВА И ОБЯЗАННОСТИ «АБОНЕНТА»</w:t>
      </w:r>
    </w:p>
    <w:p>
      <w:pPr>
        <w:pStyle w:val="BodyText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</w:r>
    </w:p>
    <w:p>
      <w:pPr>
        <w:pStyle w:val="Normal"/>
        <w:autoSpaceDE w:val="false"/>
        <w:ind w:firstLine="708" w:end="0"/>
        <w:jc w:val="both"/>
        <w:rPr>
          <w:rFonts w:ascii="TimesNewRoman;Times New Roman" w:hAnsi="TimesNewRoman;Times New Roman" w:cs="TimesNewRoman;Times New Roman"/>
          <w:b/>
          <w:sz w:val="21"/>
          <w:szCs w:val="21"/>
        </w:rPr>
      </w:pPr>
      <w:r>
        <w:rPr>
          <w:rFonts w:cs="TimesNewRoman;Times New Roman" w:ascii="TimesNewRoman;Times New Roman" w:hAnsi="TimesNewRoman;Times New Roman"/>
          <w:b/>
          <w:sz w:val="21"/>
          <w:szCs w:val="21"/>
        </w:rPr>
        <w:t>3.1 «Абонент» обязан: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 xml:space="preserve">3.1.1    Своевременно и в полном объеме вносить плату за потребленную тепловую энергию и горячую воду. 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>3.1.2. При обнаружении неисправностей (аварий) внутриквартирного оборудования, коллективных (общедомовых), общих (квартирных) или индивидуальных приборов учета немедленно сообщать о них ЭСО и в единую городскую аварийно- спасательную службу, а при наличии возможности – принимать все возможные меры по их устранению.</w:t>
      </w:r>
    </w:p>
    <w:p>
      <w:pPr>
        <w:pStyle w:val="Normal"/>
        <w:autoSpaceDE w:val="false"/>
        <w:ind w:firstLine="708" w:end="0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>3.1.3. При пожарах, авариях на внутридомовых инженерных системах, а также при иных нарушениях, возникающих при использовании коммунальных ресурсов, немедленно сообщать о них ЭСО и в единую городскую аварийно- спасательную службу.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>3.1.4 Уведомить «ЭСО» (письмо, телефонограмма, факс) в случае прекращения теплоснабжения</w:t>
      </w:r>
      <w:r>
        <w:rPr>
          <w:sz w:val="21"/>
          <w:szCs w:val="21"/>
        </w:rPr>
        <w:t xml:space="preserve"> в связи с проведением аварийных ремонтных работ в системе теплопотребления «Абонента» для составления соответствующего акта с участием представителей сторон. Уведомление о прекращении теплоснабжения должно быть передано в «ЭСО» незамедлительно – в день прекращения теплоснабжения. В акте должны быть   указаны: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дата составления акта;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дата и время отключения;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перечень отключенных объектов теплопотребления «Абонента»;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причина отключения;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дата и время включения;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перечень включенных объектов теплопотребления «Абонента»;</w:t>
      </w:r>
    </w:p>
    <w:p>
      <w:pPr>
        <w:pStyle w:val="Normal"/>
        <w:numPr>
          <w:ilvl w:val="0"/>
          <w:numId w:val="10"/>
        </w:numPr>
        <w:autoSpaceDE w:val="false"/>
        <w:ind w:hanging="0" w:start="720" w:end="0"/>
        <w:jc w:val="both"/>
        <w:rPr>
          <w:sz w:val="21"/>
          <w:szCs w:val="21"/>
        </w:rPr>
      </w:pPr>
      <w:r>
        <w:rPr>
          <w:sz w:val="21"/>
          <w:szCs w:val="21"/>
        </w:rPr>
        <w:t>период отсутствия теплоснабжения.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>Акт должен быть подписан полномочными представителями сторон. Надлежаще оформленный акт является основанием для корректировки начислений.</w:t>
      </w:r>
    </w:p>
    <w:p>
      <w:pPr>
        <w:pStyle w:val="Normal"/>
        <w:autoSpaceDE w:val="false"/>
        <w:ind w:firstLine="708" w:end="0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 xml:space="preserve">Перерыв в теплоснабжении, не согласованный с «ЭСО», не освобождает «Абонента» от оплаты стоимости коммунальных услуг по отоплению и горячему водоснабжению. 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>3.1.5 Подключать новые, отремонтированные и реконструированные сети и теплоустановки только при письменном разрешения «ЭСО».</w:t>
      </w:r>
    </w:p>
    <w:p>
      <w:pPr>
        <w:pStyle w:val="Normal"/>
        <w:autoSpaceDE w:val="false"/>
        <w:ind w:firstLine="708" w:end="0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>3.1.6 Обеспечить исправность принадлежащих ему приборов учета, их периодическую поверку, своевременный ремонт, замену, а также сохранность пломб на коллективных, общих или индивидуальных приборах учета.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>3.1.7. В целях учета коммунальных ресурсов для собственников жилых помещений многоквартирных жилых домов, использовать коллективные, общие или индивидуальные приборы учета, внесенные в государственный реестр средств измерений. После установки ОДПУ вести учет количества принимаемой тепловой энергии с ежедневной записью показаний приборов в пронумерованном, прошнурованном и опломбированном «ЭСО» журнале. Рекомендованная форма журнала учета указана в Приложении №3 к настоящему договору.</w:t>
      </w:r>
    </w:p>
    <w:p>
      <w:pPr>
        <w:pStyle w:val="Normal"/>
        <w:autoSpaceDE w:val="false"/>
        <w:ind w:firstLine="720" w:end="0"/>
        <w:jc w:val="both"/>
        <w:rPr>
          <w:iCs/>
          <w:sz w:val="21"/>
          <w:szCs w:val="21"/>
        </w:rPr>
      </w:pPr>
      <w:r>
        <w:rPr>
          <w:iCs/>
          <w:sz w:val="21"/>
          <w:szCs w:val="21"/>
        </w:rPr>
        <w:t>Производить поверку средств измерений, входящих в состав узла учета тепловой энергии и теплоносителя, в сроки, установленные Госстандартом. В случае несвоевременной поверки приборы учета считаются не исправными.</w:t>
      </w:r>
    </w:p>
    <w:p>
      <w:pPr>
        <w:pStyle w:val="2"/>
        <w:rPr/>
      </w:pPr>
      <w:r>
        <w:rPr>
          <w:rFonts w:cs="Times New Roman" w:ascii="Times New Roman" w:hAnsi="Times New Roman"/>
          <w:szCs w:val="21"/>
        </w:rPr>
        <w:t xml:space="preserve">3.1.8 При наличии приборов учета тепловой энергии, с 23 по 25 число каждого месяца, представлять в «ЭСО» сведения о показаниях приборов учета, а по отдельному запросу посуточную или почасовую регистрацию измеряемых величин на бумажном или электронном носителе, а также другие материалы и сведения, касающиеся организации и ведения учета теплопотребления за истекший расчетный месяц. </w:t>
      </w:r>
    </w:p>
    <w:p>
      <w:pPr>
        <w:pStyle w:val="3"/>
        <w:rPr/>
      </w:pPr>
      <w:r>
        <w:rPr>
          <w:rFonts w:cs="Times New Roman" w:ascii="Times New Roman" w:hAnsi="Times New Roman"/>
          <w:sz w:val="21"/>
          <w:szCs w:val="21"/>
        </w:rPr>
        <w:t>3.1.9 Допускать представителя «ЭСО» в занимаемое жилое помещение для проверки состояния индивидуальных, общих (квартирных), комнатных приборов учета отопления и горячего водоснабжения, факта их наличия или отсутствия, а также достоверности, переданных «Абонентом» «ЭСО» сведений о показаниях таких приборов учета, в заранее согласованное время.</w:t>
      </w:r>
    </w:p>
    <w:p>
      <w:pPr>
        <w:pStyle w:val="3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3.1.10 Выполнять в установленные сроки предписания «ЭСО» об устранении недостатков в устройстве, эксплуатации и обслуживании систем теплопотребления.</w:t>
      </w:r>
    </w:p>
    <w:p>
      <w:pPr>
        <w:pStyle w:val="2"/>
        <w:rPr/>
      </w:pPr>
      <w:r>
        <w:rPr>
          <w:rFonts w:cs="Times New Roman" w:ascii="Times New Roman" w:hAnsi="Times New Roman"/>
          <w:szCs w:val="21"/>
        </w:rPr>
        <w:t>3.1.11</w:t>
      </w:r>
      <w:r>
        <w:rPr>
          <w:rFonts w:cs="Times New Roman" w:ascii="Times New Roman" w:hAnsi="Times New Roman"/>
          <w:iCs/>
          <w:szCs w:val="21"/>
        </w:rPr>
        <w:t xml:space="preserve"> Рационально использовать поставляемую «ЭСО» тепловую энергию. Не допускать:</w:t>
      </w:r>
    </w:p>
    <w:p>
      <w:pPr>
        <w:pStyle w:val="2"/>
        <w:rPr>
          <w:rFonts w:ascii="Times New Roman" w:hAnsi="Times New Roman" w:cs="Times New Roman"/>
          <w:iCs/>
          <w:szCs w:val="21"/>
        </w:rPr>
      </w:pPr>
      <w:r>
        <w:rPr>
          <w:rFonts w:cs="Times New Roman" w:ascii="Times New Roman" w:hAnsi="Times New Roman"/>
          <w:iCs/>
          <w:szCs w:val="21"/>
        </w:rPr>
        <w:t>- увеличения поверхности нагрева приборов отопления, установленных в жилом доме свыше параметров, указанных в техническом паспорте жилого помещения;</w:t>
      </w:r>
    </w:p>
    <w:p>
      <w:pPr>
        <w:pStyle w:val="2"/>
        <w:rPr>
          <w:rFonts w:ascii="Times New Roman" w:hAnsi="Times New Roman" w:cs="Times New Roman"/>
          <w:iCs/>
          <w:szCs w:val="21"/>
        </w:rPr>
      </w:pPr>
      <w:r>
        <w:rPr>
          <w:rFonts w:cs="Times New Roman" w:ascii="Times New Roman" w:hAnsi="Times New Roman"/>
          <w:iCs/>
          <w:szCs w:val="21"/>
        </w:rPr>
        <w:t>- слив теплоносителя из системы отопления без разрешения ЭСО.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iCs/>
          <w:sz w:val="21"/>
          <w:szCs w:val="21"/>
        </w:rPr>
        <w:t>3.1.12 В течение пяти дней с момента</w:t>
      </w:r>
      <w:r>
        <w:rPr>
          <w:sz w:val="21"/>
          <w:szCs w:val="21"/>
        </w:rPr>
        <w:t xml:space="preserve"> получения от «ЭСО» возвращать подписанные акты об отпуске тепловой энергии и акты сверки расчетов за отпущенную тепловую энергию.</w:t>
      </w:r>
    </w:p>
    <w:p>
      <w:pPr>
        <w:pStyle w:val="Normal"/>
        <w:autoSpaceDE w:val="false"/>
        <w:ind w:firstLine="708" w:end="0"/>
        <w:jc w:val="both"/>
        <w:rPr>
          <w:iCs/>
          <w:sz w:val="21"/>
          <w:szCs w:val="21"/>
        </w:rPr>
      </w:pPr>
      <w:r>
        <w:rPr>
          <w:sz w:val="21"/>
          <w:szCs w:val="21"/>
        </w:rPr>
        <w:t xml:space="preserve">3.1.13 </w:t>
      </w:r>
      <w:r>
        <w:rPr>
          <w:iCs/>
          <w:sz w:val="21"/>
          <w:szCs w:val="21"/>
        </w:rPr>
        <w:t>Информировать «ЭСО» об увеличении или уменьшении числа граждан, проживающих (в том числе временно) в занимаемом им жилом помещении,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</w:p>
    <w:p>
      <w:pPr>
        <w:pStyle w:val="Normal"/>
        <w:autoSpaceDE w:val="false"/>
        <w:ind w:firstLine="708" w:end="0"/>
        <w:jc w:val="both"/>
        <w:rPr>
          <w:rFonts w:ascii="TimesNewRoman,Italic;Times New Roman" w:hAnsi="TimesNewRoman,Italic;Times New Roman" w:cs="TimesNewRoman,Italic;Times New Roman"/>
          <w:b/>
          <w:iCs/>
          <w:sz w:val="21"/>
          <w:szCs w:val="21"/>
        </w:rPr>
      </w:pPr>
      <w:r>
        <w:rPr>
          <w:rFonts w:cs="TimesNewRoman,Italic;Times New Roman" w:ascii="TimesNewRoman,Italic;Times New Roman" w:hAnsi="TimesNewRoman,Italic;Times New Roman"/>
          <w:b/>
          <w:iCs/>
          <w:sz w:val="21"/>
          <w:szCs w:val="21"/>
        </w:rPr>
        <w:t>3.2 «Абонент» имеет право: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3.2.1 Подавать заявку на изменение</w:t>
      </w:r>
      <w:r>
        <w:rPr>
          <w:iCs/>
          <w:sz w:val="21"/>
          <w:szCs w:val="21"/>
        </w:rPr>
        <w:t xml:space="preserve"> договорных величин тепловой энергии. Письменная заявка направляется в «ЭСО» на рассмотрение не позднее, чем за один месяц до начала расчетного периода, в котором предполагается изменение договорных величин. </w:t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3.2.2 Заявлять в «ЭСО» об ошибках, обнаруженных в платежных документах, а также требовать их устранения в разумные сроки.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3.2.3 Требовать от «ЭСО» проведения сверки расчетов за тепловую энергию и горячую воду.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3.2.4 Требовать участия представителя «ЭСО» в установлении факта и причин нарушения договорных обязательств.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3.2.5 Производить плановый ремонт внутренних сетей и теплопотребляющих установок по согласованному с ЭСО графику, а модернизацию внутренних сетей и теплопотребляющих установок с обязательным согласованием «ЭСО».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3.2.6. Получать в необходимых объемах тепловую энергию на отопление и горячую воду надлежащего качества, безопасные для его жизни, здоровья и не причиняющие вреда его имуществу.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3.2.7 Требовать участия представителя «ЭСО» в установлении факта и причин нарушения договорных обязательств, по качеству тепловой энергии и режиму ее отпуска в срок, указанный «Абонентом» в телефонограмме, для составления акта, подтверждающего данные факты, который подписывается обеими сторонами. Сторона, не подписавшая акт, обязана указать причины. Немотивированный отказ сторон от подписи акта не влияет на его действительность.</w:t>
      </w:r>
    </w:p>
    <w:p>
      <w:pPr>
        <w:pStyle w:val="Normal"/>
        <w:autoSpaceDE w:val="false"/>
        <w:ind w:firstLine="708" w:end="0"/>
        <w:jc w:val="both"/>
        <w:rPr/>
      </w:pPr>
      <w:r>
        <w:rPr>
          <w:iCs/>
          <w:sz w:val="21"/>
          <w:szCs w:val="21"/>
        </w:rPr>
        <w:t>3.2.8 Обращаться в отдел сбыта «ЭСО» за разъяснением вопросов по объемам поставки и оплате тепловой энергии.</w:t>
      </w:r>
    </w:p>
    <w:p>
      <w:pPr>
        <w:pStyle w:val="Normal"/>
        <w:autoSpaceDE w:val="false"/>
        <w:ind w:firstLine="708" w:end="0"/>
        <w:jc w:val="center"/>
        <w:rPr>
          <w:rFonts w:ascii="TimesNewRoman,Bold;Times New Roman" w:hAnsi="TimesNewRoman,Bold;Times New Roman" w:cs="TimesNewRoman,Bold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  <w:lang w:val="en-US"/>
        </w:rPr>
        <w:t>I</w:t>
      </w: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  <w:t>V. ПОРЯДОК РАСЧЕТА</w:t>
      </w:r>
    </w:p>
    <w:p>
      <w:pPr>
        <w:pStyle w:val="Normal"/>
        <w:autoSpaceDE w:val="false"/>
        <w:ind w:firstLine="708" w:end="0"/>
        <w:jc w:val="center"/>
        <w:rPr>
          <w:rFonts w:ascii="TimesNewRoman;Times New Roman" w:hAnsi="TimesNewRoman;Times New Roman" w:cs="TimesNewRoman;Times New Roman"/>
          <w:b/>
          <w:bCs/>
          <w:sz w:val="21"/>
          <w:szCs w:val="21"/>
        </w:rPr>
      </w:pPr>
      <w:r>
        <w:rPr>
          <w:rFonts w:cs="TimesNewRoman;Times New Roman" w:ascii="TimesNewRoman;Times New Roman" w:hAnsi="TimesNewRoman;Times New Roman"/>
          <w:b/>
          <w:bCs/>
          <w:sz w:val="21"/>
          <w:szCs w:val="21"/>
        </w:rPr>
      </w:r>
    </w:p>
    <w:p>
      <w:pPr>
        <w:pStyle w:val="Normal"/>
        <w:ind w:firstLine="720" w:end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4.1 Оплата тепловой энергии производится «Абонентом» ежемесячно, в порядке и сроки, установленные настоящим договором. </w:t>
      </w:r>
    </w:p>
    <w:p>
      <w:pPr>
        <w:pStyle w:val="Normal"/>
        <w:ind w:firstLine="720" w:end="0"/>
        <w:jc w:val="both"/>
        <w:rPr/>
      </w:pPr>
      <w:r>
        <w:rPr>
          <w:sz w:val="21"/>
          <w:szCs w:val="21"/>
        </w:rPr>
        <w:t>4.2 Цена для «Абонента» на границе балансовой принадлежности тепловых сетей «ЭСО» и «Абонента» определена в соответствии с тарифами, утвержденными Министерством тарифного регулирования Воронежской области.</w:t>
      </w:r>
    </w:p>
    <w:p>
      <w:pPr>
        <w:pStyle w:val="Normal"/>
        <w:ind w:firstLine="720" w:end="0"/>
        <w:jc w:val="both"/>
        <w:rPr>
          <w:sz w:val="21"/>
          <w:szCs w:val="21"/>
        </w:rPr>
      </w:pPr>
      <w:r>
        <w:rPr>
          <w:sz w:val="21"/>
          <w:szCs w:val="21"/>
        </w:rPr>
        <w:t>Изменение тарифов в период действия договора не требует его переоформления, либо подписания дополнительных соглашений к нему.</w:t>
      </w:r>
    </w:p>
    <w:p>
      <w:pPr>
        <w:pStyle w:val="Normal"/>
        <w:ind w:firstLine="720" w:end="0"/>
        <w:jc w:val="both"/>
        <w:rPr>
          <w:sz w:val="21"/>
          <w:szCs w:val="21"/>
        </w:rPr>
      </w:pPr>
      <w:r>
        <w:rPr>
          <w:sz w:val="21"/>
          <w:szCs w:val="21"/>
        </w:rPr>
        <w:t>4.3 Плата за жилое помещение и коммунальные услуги вносится на основании: платежных документов, представленных не позднее 10 числа, следующего за истекшим месяцем.</w:t>
      </w:r>
    </w:p>
    <w:p>
      <w:pPr>
        <w:pStyle w:val="Normal"/>
        <w:ind w:firstLine="709" w:end="0"/>
        <w:jc w:val="both"/>
        <w:rPr>
          <w:sz w:val="21"/>
          <w:szCs w:val="21"/>
        </w:rPr>
      </w:pPr>
      <w:r>
        <w:rPr>
          <w:sz w:val="21"/>
          <w:szCs w:val="21"/>
        </w:rPr>
        <w:t>4.4 Оплата тепловой энергии для целей отопления и горячего водоснабжения производится «Абонентом» в полном объеме, на основании счета (квитанции) н</w:t>
      </w:r>
      <w:r>
        <w:rPr>
          <w:iCs/>
          <w:sz w:val="21"/>
          <w:szCs w:val="21"/>
        </w:rPr>
        <w:t xml:space="preserve">е позднее 25 числа месяца, следующего за расчетным. </w:t>
      </w:r>
    </w:p>
    <w:p>
      <w:pPr>
        <w:pStyle w:val="Normal"/>
        <w:ind w:start="708" w:end="0"/>
        <w:jc w:val="both"/>
        <w:rPr/>
      </w:pPr>
      <w:r>
        <w:rPr>
          <w:sz w:val="21"/>
          <w:szCs w:val="21"/>
        </w:rPr>
        <w:t>4.5. Датой оплаты считается дата поступления денежных средств на расчетный счет «ЭСО».</w:t>
      </w:r>
    </w:p>
    <w:p>
      <w:pPr>
        <w:pStyle w:val="Style16"/>
        <w:ind w:firstLine="708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4.6 При выполнении за «Абонента» оплаты третьими лицами в платежном документе должна быть ссылка плательщика на «Абонента» с указанием его полного наименования, номера и даты, заключенного с «Абонентом» договора, назначение и период платежа.</w:t>
      </w:r>
    </w:p>
    <w:p>
      <w:pPr>
        <w:pStyle w:val="Style16"/>
        <w:ind w:firstLine="708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4.7 </w:t>
      </w:r>
      <w:r>
        <w:rPr>
          <w:rFonts w:cs="Times New Roman" w:ascii="Times New Roman" w:hAnsi="Times New Roman"/>
          <w:b w:val="false"/>
          <w:sz w:val="21"/>
          <w:szCs w:val="21"/>
        </w:rPr>
        <w:t>Количество теплоносителя на сверхнормативную подпитку тепловых сетей «Абонента» определяется следующим образом: величина подпитки, установленная актом, умножается на количество часов потребления тепловой энергии с момента обнаружения утечки теплоносителя до момента ее устранения.</w:t>
      </w: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 Сверхнормативная утечка теплоносителя определяется «ЭСО» и фиксируется в двухстороннем акте. Отказ «Абонента» от подписи акта не освобождает его от оплаты в установленном порядке.</w:t>
      </w:r>
    </w:p>
    <w:p>
      <w:pPr>
        <w:pStyle w:val="Style16"/>
        <w:ind w:firstLine="708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4.8 В случае отсутствия назначения платежа, в платежных документах, суммы, оплаченные «Абонентом» в текущем месяце, относятся в счет оплаты за предыдущий расчетный период.</w:t>
      </w:r>
    </w:p>
    <w:p>
      <w:pPr>
        <w:pStyle w:val="Style16"/>
        <w:ind w:firstLine="708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В случае превышения суммы оплаты - в счет погашения ранее возникшей задолженности.</w:t>
      </w:r>
    </w:p>
    <w:p>
      <w:pPr>
        <w:pStyle w:val="Style16"/>
        <w:ind w:firstLine="708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При отсутствии задолженности - в счет оплаты следующего расчетного периода. </w:t>
      </w:r>
    </w:p>
    <w:p>
      <w:pPr>
        <w:pStyle w:val="Style16"/>
        <w:ind w:firstLine="708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4.9 Режим и планируемые объемы поставки тепловой энергии и горячей воды указаны в Приложении №1, являющемся неотъемлемой частью настоящего договора.</w:t>
      </w:r>
    </w:p>
    <w:p>
      <w:pPr>
        <w:pStyle w:val="Normal"/>
        <w:autoSpaceDE w:val="false"/>
        <w:jc w:val="center"/>
        <w:rPr>
          <w:rFonts w:ascii="TimesNewRoman,Bold;Times New Roman" w:hAnsi="TimesNewRoman,Bold;Times New Roman" w:cs="TimesNewRoman,Bold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</w:r>
    </w:p>
    <w:p>
      <w:pPr>
        <w:pStyle w:val="Normal"/>
        <w:autoSpaceDE w:val="false"/>
        <w:jc w:val="center"/>
        <w:rPr>
          <w:rFonts w:ascii="TimesNewRoman;Times New Roman" w:hAnsi="TimesNewRoman;Times New Roman" w:cs="TimesNewRoman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  <w:t xml:space="preserve">V. </w:t>
      </w:r>
      <w:r>
        <w:rPr>
          <w:rFonts w:cs="TimesNewRoman;Times New Roman" w:ascii="TimesNewRoman;Times New Roman" w:hAnsi="TimesNewRoman;Times New Roman"/>
          <w:b/>
          <w:bCs/>
          <w:sz w:val="21"/>
          <w:szCs w:val="21"/>
        </w:rPr>
        <w:t>УЧЕТ ТЕПЛОВОЙ ЭНЕРГИИ</w:t>
      </w:r>
    </w:p>
    <w:p>
      <w:pPr>
        <w:pStyle w:val="Normal"/>
        <w:autoSpaceDE w:val="false"/>
        <w:jc w:val="center"/>
        <w:rPr>
          <w:rFonts w:ascii="TimesNewRoman;Times New Roman" w:hAnsi="TimesNewRoman;Times New Roman" w:cs="TimesNewRoman;Times New Roman"/>
          <w:b/>
          <w:bCs/>
          <w:sz w:val="21"/>
          <w:szCs w:val="21"/>
        </w:rPr>
      </w:pPr>
      <w:r>
        <w:rPr>
          <w:rFonts w:cs="TimesNewRoman;Times New Roman" w:ascii="TimesNewRoman;Times New Roman" w:hAnsi="TimesNewRoman;Times New Roman"/>
          <w:b/>
          <w:bCs/>
          <w:sz w:val="21"/>
          <w:szCs w:val="21"/>
        </w:rPr>
      </w:r>
    </w:p>
    <w:p>
      <w:pPr>
        <w:pStyle w:val="Normal"/>
        <w:autoSpaceDE w:val="false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5.1 Объем тепловой энергии и горячей воды, поставляемой в жилой дом, оборудованный индивидуальным прибором учета (ИПУ), определяется на основании показаний индивидуального прибора учета (ИПУ) за расчетный период (расчетный месяц). </w:t>
      </w:r>
    </w:p>
    <w:p>
      <w:pPr>
        <w:pStyle w:val="Normal"/>
        <w:autoSpaceDE w:val="false"/>
        <w:ind w:firstLine="1080" w:end="0"/>
        <w:jc w:val="both"/>
        <w:rPr/>
      </w:pPr>
      <w:r>
        <w:rPr>
          <w:sz w:val="21"/>
          <w:szCs w:val="21"/>
        </w:rPr>
        <w:t xml:space="preserve">Объем тепловой энергии и горячей воды, поставляемой в жилое помещение многоквартирного жилого дома, определяется в порядке, предусмотренном Постановлением Правительства РФ от 06.05.2011г. №354. </w:t>
      </w:r>
    </w:p>
    <w:p>
      <w:pPr>
        <w:pStyle w:val="Normal"/>
        <w:ind w:firstLine="708" w:end="0"/>
        <w:jc w:val="both"/>
        <w:rPr>
          <w:sz w:val="21"/>
          <w:szCs w:val="21"/>
        </w:rPr>
      </w:pPr>
      <w:r>
        <w:rPr>
          <w:sz w:val="21"/>
          <w:szCs w:val="21"/>
        </w:rPr>
        <w:t>5.2 Объем тепловой энергии и горячей воды, поставляемой в жилой дом, не оборудованный ИПУ, определяется исходя из норматива потребления коммунальной услуги по отоплению и горячему водоснабжению, в соответствии с Приложением №1.1.</w:t>
      </w:r>
    </w:p>
    <w:p>
      <w:pPr>
        <w:pStyle w:val="Normal"/>
        <w:ind w:firstLine="1080" w:end="0"/>
        <w:jc w:val="both"/>
        <w:rPr>
          <w:sz w:val="21"/>
          <w:szCs w:val="21"/>
        </w:rPr>
      </w:pPr>
      <w:r>
        <w:rPr>
          <w:sz w:val="21"/>
          <w:szCs w:val="21"/>
        </w:rPr>
        <w:t>В случае отсутствия общедомового прибора учета (ОДПУ) в многоквартирном жилом доме, а также, в случае отсутствия ИПУ в жилом помещении, объем тепловой энергии и горячей воды определяется исходя из норматива потребления коммунальной услуги по отоплению и горячему водоснабжению, в соответствии с Приложением №1.1.</w:t>
      </w:r>
    </w:p>
    <w:p>
      <w:pPr>
        <w:pStyle w:val="Normal"/>
        <w:autoSpaceDE w:val="false"/>
        <w:ind w:firstLine="540" w:end="0"/>
        <w:jc w:val="center"/>
        <w:rPr>
          <w:rFonts w:ascii="TimesNewRoman,Bold;Times New Roman" w:hAnsi="TimesNewRoman,Bold;Times New Roman" w:cs="TimesNewRoman,Bold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</w:r>
    </w:p>
    <w:p>
      <w:pPr>
        <w:pStyle w:val="Normal"/>
        <w:autoSpaceDE w:val="false"/>
        <w:ind w:firstLine="540" w:end="0"/>
        <w:jc w:val="center"/>
        <w:rPr>
          <w:rFonts w:ascii="TimesNewRoman;Times New Roman" w:hAnsi="TimesNewRoman;Times New Roman" w:cs="TimesNewRoman;Times New Roman"/>
          <w:b/>
          <w:bCs/>
          <w:sz w:val="21"/>
          <w:szCs w:val="21"/>
        </w:rPr>
      </w:pPr>
      <w:r>
        <w:rPr>
          <w:rFonts w:cs="TimesNewRoman,Bold;Times New Roman" w:ascii="TimesNewRoman,Bold;Times New Roman" w:hAnsi="TimesNewRoman,Bold;Times New Roman"/>
          <w:b/>
          <w:bCs/>
          <w:sz w:val="21"/>
          <w:szCs w:val="21"/>
        </w:rPr>
        <w:t xml:space="preserve">VI. </w:t>
      </w:r>
      <w:r>
        <w:rPr>
          <w:rFonts w:cs="TimesNewRoman;Times New Roman" w:ascii="TimesNewRoman;Times New Roman" w:hAnsi="TimesNewRoman;Times New Roman"/>
          <w:b/>
          <w:bCs/>
          <w:sz w:val="21"/>
          <w:szCs w:val="21"/>
        </w:rPr>
        <w:t>ОТВЕТСТВЕННОСТЬ  СТОРОН</w:t>
      </w:r>
    </w:p>
    <w:p>
      <w:pPr>
        <w:pStyle w:val="Normal"/>
        <w:autoSpaceDE w:val="false"/>
        <w:ind w:firstLine="540" w:end="0"/>
        <w:jc w:val="center"/>
        <w:rPr>
          <w:rFonts w:ascii="TimesNewRoman;Times New Roman" w:hAnsi="TimesNewRoman;Times New Roman" w:cs="TimesNewRoman;Times New Roman"/>
          <w:b/>
          <w:bCs/>
          <w:sz w:val="21"/>
          <w:szCs w:val="21"/>
        </w:rPr>
      </w:pPr>
      <w:r>
        <w:rPr>
          <w:rFonts w:cs="TimesNewRoman;Times New Roman" w:ascii="TimesNewRoman;Times New Roman" w:hAnsi="TimesNewRoman;Times New Roman"/>
          <w:b/>
          <w:bCs/>
          <w:sz w:val="21"/>
          <w:szCs w:val="21"/>
        </w:rPr>
      </w:r>
    </w:p>
    <w:p>
      <w:pPr>
        <w:pStyle w:val="Style16"/>
        <w:ind w:firstLine="720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6.1 В случае ненадлежащего исполнения условий настоящего договора Стороны несут ответственность в соответствии с действующим законодательством.</w:t>
      </w:r>
    </w:p>
    <w:p>
      <w:pPr>
        <w:pStyle w:val="Style16"/>
        <w:ind w:firstLine="720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6.1.1 Собственники, или иные законные владельцы помещений в многоквартирных домах, несвоевременно и (или) не полностью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>
      <w:pPr>
        <w:pStyle w:val="Style16"/>
        <w:ind w:firstLine="720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6.2 При нарушении «Абонентом» обязательств по оплате тепловой энергии и теплоносителя, установленных настоящим договором, «ЭСО» ограничивает поставку тепловой энергии и теплоносителя в порядке, установленном </w:t>
      </w:r>
      <w:r>
        <w:rPr>
          <w:b w:val="false"/>
          <w:sz w:val="21"/>
          <w:szCs w:val="21"/>
        </w:rPr>
        <w:t>Правилами предоставления коммунальных услуг, действующими в РФ.</w:t>
      </w:r>
    </w:p>
    <w:p>
      <w:pPr>
        <w:pStyle w:val="Style16"/>
        <w:ind w:firstLine="720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6.3 Все претензии по выполнению условий настоящего договора должны заявляться Сторонами в письменной форме и направляться контрагенту заказным письмом или вручаться лично под расписку. </w:t>
      </w:r>
    </w:p>
    <w:p>
      <w:pPr>
        <w:pStyle w:val="Style16"/>
        <w:ind w:firstLine="720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6.4 При не достижении соглашения споры по настоящему договору передаются на рассмотрение в суд в порядке, предусмотренном действующим законодательством Российской Федерации.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6.5 «ЭСО» не несет имущественной ответственности перед потребителями за недоотпуск энергии, вызванный: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>а) неправильными действиями «Абонента» или посторонних лиц (ошибочное включение, отключение или переключение, механическое повреждение и т.п.);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>б) условиями ограничения или прекращения подачи тепловой энергии потребителям, предусмотренными п.6.2 настоящего договора;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>в) невыполнением «Абонентом» предписаний по регулировке, промывке и опрессовке внутренних систем;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>г) форс-мажорными обстоятельствами;</w:t>
      </w:r>
    </w:p>
    <w:p>
      <w:pPr>
        <w:pStyle w:val="Normal"/>
        <w:autoSpaceDE w:val="false"/>
        <w:jc w:val="both"/>
        <w:rPr>
          <w:sz w:val="21"/>
          <w:szCs w:val="21"/>
        </w:rPr>
      </w:pPr>
      <w:r>
        <w:rPr>
          <w:sz w:val="21"/>
          <w:szCs w:val="21"/>
        </w:rPr>
        <w:tab/>
        <w:t>«ЭСО» не несет ответственности за качество теплоснабжения, в случае неподписания «ЭСО» акта готовности внутренних систем «Абонента» к приему теплоносителя перед началом нового отопительного сезона.</w:t>
      </w:r>
    </w:p>
    <w:p>
      <w:pPr>
        <w:pStyle w:val="Normal"/>
        <w:autoSpaceDE w:val="false"/>
        <w:ind w:firstLine="708" w:end="0"/>
        <w:jc w:val="both"/>
        <w:rPr/>
      </w:pPr>
      <w:r>
        <w:rPr>
          <w:sz w:val="21"/>
          <w:szCs w:val="21"/>
        </w:rPr>
        <w:t>6.6 Если в результате действий «Абонента», а также аварий в энергоустановках потребителя имел место недоотпуск энергии другим абонентам «ЭСО», либо причинен ущерб «ЭСО», ответственность по возмещению причиненных убытков возлагается на «Абонента».</w:t>
      </w:r>
    </w:p>
    <w:p>
      <w:pPr>
        <w:pStyle w:val="Style16"/>
        <w:ind w:firstLine="720" w:end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Style16"/>
        <w:ind w:firstLine="720" w:end="0"/>
        <w:rPr>
          <w:sz w:val="21"/>
          <w:szCs w:val="21"/>
        </w:rPr>
      </w:pPr>
      <w:r>
        <w:rPr>
          <w:sz w:val="21"/>
          <w:szCs w:val="21"/>
          <w:lang w:val="en-US"/>
        </w:rPr>
        <w:t>VII</w:t>
      </w:r>
      <w:r>
        <w:rPr>
          <w:sz w:val="21"/>
          <w:szCs w:val="21"/>
        </w:rPr>
        <w:t>. ОБЩИЕ УСЛОВИЯ</w:t>
      </w:r>
    </w:p>
    <w:p>
      <w:pPr>
        <w:pStyle w:val="Style16"/>
        <w:ind w:firstLine="720" w:end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Style16"/>
        <w:autoSpaceDE w:val="true"/>
        <w:ind w:firstLine="708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7.1 Стороны договорились о том, что вся переписка между ними по всем вытекающим из договора обязательствам производится по адресам, указанным в договоре. Сторона, адрес и (или) банковские реквизиты которой изменены, обязана в 10-ти дневный срок надлежащим образом уведомить другую сторону об изменении. В случае несвоевременного и (или) ненадлежащего уведомления стороной об указанных изменениях, считать переписку по адресам, указанным в договоре надлежащей</w:t>
      </w:r>
      <w:r>
        <w:rPr>
          <w:rFonts w:cs="Times New Roman" w:ascii="Times New Roman" w:hAnsi="Times New Roman"/>
          <w:b w:val="false"/>
          <w:sz w:val="21"/>
          <w:szCs w:val="21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перепиской.</w:t>
      </w:r>
    </w:p>
    <w:p>
      <w:pPr>
        <w:pStyle w:val="Style16"/>
        <w:autoSpaceDE w:val="true"/>
        <w:ind w:firstLine="708" w:end="0"/>
        <w:jc w:val="both"/>
        <w:rPr>
          <w:rFonts w:ascii="Times New Roman" w:hAnsi="Times New Roman" w:cs="Times New Roman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7.2 Во   всем, что   не   предусмотрено   настоящим   договором,  стороны руководствуются законодательством РФ и нормативными актами, действующими на территории РФ.</w:t>
      </w:r>
    </w:p>
    <w:p>
      <w:pPr>
        <w:pStyle w:val="2"/>
        <w:ind w:start="3540" w:end="0"/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cs="Times New Roman" w:ascii="Times New Roman" w:hAnsi="Times New Roman"/>
          <w:b/>
          <w:bCs/>
          <w:sz w:val="20"/>
          <w:szCs w:val="21"/>
        </w:rPr>
      </w:r>
    </w:p>
    <w:p>
      <w:pPr>
        <w:pStyle w:val="2"/>
        <w:ind w:start="3540" w:end="0"/>
        <w:rPr>
          <w:b/>
          <w:szCs w:val="21"/>
        </w:rPr>
      </w:pPr>
      <w:r>
        <w:rPr>
          <w:b/>
          <w:szCs w:val="21"/>
          <w:lang w:val="en-US"/>
        </w:rPr>
        <w:t>VIII</w:t>
      </w:r>
      <w:r>
        <w:rPr>
          <w:b/>
          <w:szCs w:val="21"/>
        </w:rPr>
        <w:t>. СРОК ДЕЙСТВИЯ ДОГОВОРА</w:t>
      </w:r>
    </w:p>
    <w:p>
      <w:pPr>
        <w:pStyle w:val="2"/>
        <w:ind w:start="3540" w:end="0"/>
        <w:rPr>
          <w:b/>
          <w:szCs w:val="21"/>
        </w:rPr>
      </w:pPr>
      <w:r>
        <w:rPr>
          <w:b/>
          <w:szCs w:val="21"/>
        </w:rPr>
      </w:r>
    </w:p>
    <w:p>
      <w:pPr>
        <w:pStyle w:val="Style16"/>
        <w:ind w:firstLine="720" w:end="0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8.1. Данный договор действует </w:t>
      </w:r>
      <w:r>
        <w:rPr>
          <w:rFonts w:cs="Times New Roman" w:ascii="Times New Roman" w:hAnsi="Times New Roman"/>
          <w:bCs w:val="false"/>
          <w:sz w:val="21"/>
          <w:szCs w:val="21"/>
        </w:rPr>
        <w:t>с __________________ по __________________.</w:t>
      </w: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 Считается ежегодно продленным, если за 30 суток до его окончания не последует надлежащее уведомление любой из Сторон о его пересмотре, либо расторжении. В этом случае положения Договора считаются измененными, либо Договор считается расторгнутым с момента подписания соответствующего соглашения.</w:t>
      </w:r>
    </w:p>
    <w:p>
      <w:pPr>
        <w:pStyle w:val="Style16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             </w:t>
      </w: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ab/>
        <w:t>8.2. Любые изменения и дополнения к настоящему договору должны быть оформлены в письменном виде и подписаны полномочными представителями сторон, после чего они становятся неотъемлемой частью настоящего договора, если иное не предусмотрено настоящим договором.</w:t>
      </w:r>
    </w:p>
    <w:p>
      <w:pPr>
        <w:pStyle w:val="Style16"/>
        <w:ind w:firstLine="720" w:end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 xml:space="preserve">8.3. В случае изменения Договора, а также его расторжения, «Абонент» обязан в течение 30 суток произвести полный расчет за отпущенные коммунальные ресурсы. </w:t>
      </w:r>
    </w:p>
    <w:p>
      <w:pPr>
        <w:pStyle w:val="Style16"/>
        <w:jc w:val="both"/>
        <w:rPr/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ab/>
        <w:t>8.4. Приложения к договору являются неотъемлемой его частью.</w:t>
      </w:r>
    </w:p>
    <w:p>
      <w:pPr>
        <w:pStyle w:val="Style16"/>
        <w:jc w:val="both"/>
        <w:rPr>
          <w:rFonts w:ascii="Times New Roman" w:hAnsi="Times New Roman" w:cs="Times New Roman"/>
          <w:b w:val="false"/>
          <w:bCs w:val="false"/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</w:r>
    </w:p>
    <w:p>
      <w:pPr>
        <w:pStyle w:val="Style16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Реквизиты сторон</w:t>
      </w:r>
    </w:p>
    <w:p>
      <w:pPr>
        <w:pStyle w:val="Style16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tbl>
      <w:tblPr>
        <w:tblW w:w="1045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28"/>
        <w:gridCol w:w="5228"/>
      </w:tblGrid>
      <w:tr>
        <w:trPr>
          <w:trHeight w:val="3587" w:hRule="atLeast"/>
          <w:cantSplit/>
        </w:trPr>
        <w:tc>
          <w:tcPr>
            <w:tcW w:w="5228" w:type="dxa"/>
            <w:tcBorders/>
          </w:tcPr>
          <w:p>
            <w:pPr>
              <w:pStyle w:val="Style16"/>
              <w:rPr>
                <w:rFonts w:ascii="Times New Roman" w:hAnsi="Times New Roman" w:cs="Times New Roman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 w:val="false"/>
                <w:sz w:val="20"/>
                <w:szCs w:val="20"/>
              </w:rPr>
              <w:t>Энергоснабжающая организация</w:t>
            </w:r>
          </w:p>
          <w:p>
            <w:pPr>
              <w:pStyle w:val="Normal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Реквизиты: 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МУП БГО ВО «Борисоглебские теплосети»</w:t>
            </w:r>
          </w:p>
          <w:p>
            <w:pPr>
              <w:pStyle w:val="Normal"/>
              <w:spacing w:lineRule="auto" w:line="276"/>
              <w:jc w:val="both"/>
              <w:rPr/>
            </w:pPr>
            <w:r>
              <w:rPr>
                <w:sz w:val="20"/>
                <w:szCs w:val="20"/>
              </w:rPr>
              <w:t xml:space="preserve">397165, Воронежская область, г. Борисоглебск, ул. Матросовская, зд. 117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3604086750 КПП 360401001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№ 40702810002940027036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«Альфа-Банк», г. Москва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30101810200000000593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044525593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1263600008980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ОКПО ____________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Телефон: ____________</w:t>
            </w:r>
          </w:p>
          <w:p>
            <w:pPr>
              <w:pStyle w:val="Normal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Факс: ____________</w:t>
            </w:r>
          </w:p>
          <w:p>
            <w:pPr>
              <w:pStyle w:val="Style16"/>
              <w:spacing w:lineRule="auto" w:line="2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Style16"/>
              <w:tabs>
                <w:tab w:val="clear" w:pos="708"/>
                <w:tab w:val="left" w:pos="5130" w:leader="none"/>
              </w:tabs>
              <w:spacing w:lineRule="auto" w:line="2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Директор ______________ / А. А. Егорова / </w:t>
            </w:r>
          </w:p>
          <w:p>
            <w:pPr>
              <w:pStyle w:val="Style16"/>
              <w:tabs>
                <w:tab w:val="clear" w:pos="708"/>
                <w:tab w:val="left" w:pos="5130" w:leader="none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м.п.</w:t>
            </w:r>
          </w:p>
        </w:tc>
        <w:tc>
          <w:tcPr>
            <w:tcW w:w="5228" w:type="dxa"/>
            <w:tcBorders/>
          </w:tcPr>
          <w:p>
            <w:pPr>
              <w:pStyle w:val="Style16"/>
              <w:rPr>
                <w:b w:val="false"/>
                <w:bCs w:val="false"/>
                <w:sz w:val="21"/>
                <w:szCs w:val="21"/>
              </w:rPr>
            </w:pPr>
            <w:r>
              <w:rPr>
                <w:b w:val="false"/>
                <w:bCs w:val="false"/>
                <w:sz w:val="21"/>
                <w:szCs w:val="21"/>
              </w:rPr>
              <w:t>«Абонент»</w:t>
            </w:r>
          </w:p>
          <w:p>
            <w:pPr>
              <w:pStyle w:val="Normal"/>
              <w:jc w:val="both"/>
              <w:rPr>
                <w:rFonts w:ascii="TimesNewRoman,Bold;Times New Roman" w:hAnsi="TimesNewRoman,Bold;Times New Roman" w:cs="TimesNewRoman,Bold;Times New Roman"/>
                <w:b/>
                <w:bCs/>
                <w:sz w:val="21"/>
                <w:szCs w:val="21"/>
              </w:rPr>
            </w:pPr>
            <w:r>
              <w:rPr>
                <w:rFonts w:cs="TimesNewRoman,Bold;Times New Roman" w:ascii="TimesNewRoman,Bold;Times New Roman" w:hAnsi="TimesNewRoman,Bold;Times New Roman"/>
                <w:b/>
                <w:bCs/>
                <w:sz w:val="21"/>
                <w:szCs w:val="21"/>
              </w:rPr>
            </w:r>
          </w:p>
          <w:p>
            <w:pPr>
              <w:pStyle w:val="Normal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</w:p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Style16"/>
              <w:tabs>
                <w:tab w:val="clear" w:pos="708"/>
                <w:tab w:val="left" w:pos="5130" w:leader="none"/>
              </w:tabs>
              <w:jc w:val="both"/>
              <w:rPr/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________________________ </w:t>
            </w:r>
          </w:p>
          <w:p>
            <w:pPr>
              <w:pStyle w:val="Normal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м.п</w:t>
            </w:r>
          </w:p>
        </w:tc>
      </w:tr>
    </w:tbl>
    <w:p>
      <w:pPr>
        <w:pStyle w:val="Normal"/>
        <w:autoSpaceDE w:val="false"/>
        <w:rPr>
          <w:rFonts w:ascii="TimesNewRoman,Bold;Times New Roman" w:hAnsi="TimesNewRoman,Bold;Times New Roman" w:cs="TimesNewRoman,Bold;Times New Roman"/>
          <w:b/>
          <w:bCs/>
          <w:sz w:val="20"/>
          <w:szCs w:val="20"/>
        </w:rPr>
      </w:pPr>
      <w:r>
        <w:rPr>
          <w:rFonts w:cs="TimesNewRoman,Bold;Times New Roman" w:ascii="TimesNewRoman,Bold;Times New Roman" w:hAnsi="TimesNewRoman,Bold;Times New Roman"/>
          <w:b/>
          <w:bCs/>
          <w:sz w:val="20"/>
          <w:szCs w:val="20"/>
        </w:rPr>
      </w:r>
    </w:p>
    <w:sectPr>
      <w:type w:val="nextPage"/>
      <w:pgSz w:w="11906" w:h="16838"/>
      <w:pgMar w:left="902" w:right="386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imesNewRoman">
    <w:altName w:val="Bold"/>
    <w:charset w:val="cc" w:characterSet="windows-1251"/>
    <w:family w:val="auto"/>
    <w:pitch w:val="default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TimesNewRoman">
    <w:altName w:val="Times New Roman"/>
    <w:charset w:val="cc" w:characterSet="windows-1251"/>
    <w:family w:val="auto"/>
    <w:pitch w:val="default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TimesNewRoman">
    <w:altName w:val="Italic"/>
    <w:charset w:val="00" w:characterSet="windows-1252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"/>
      <w:lvlJc w:val="start"/>
      <w:pPr>
        <w:tabs>
          <w:tab w:val="num" w:pos="1068"/>
        </w:tabs>
        <w:ind w:start="1068" w:hanging="360"/>
      </w:pPr>
      <w:rPr>
        <w:rFonts w:ascii="Wingdings" w:hAnsi="Wingdings" w:cs="Wingdings" w:hint="default"/>
      </w:rPr>
    </w:lvl>
  </w:abstractNum>
  <w:abstractNum w:abstractNumId="3">
    <w:lvl w:ilvl="0">
      <w:start w:val="2"/>
      <w:numFmt w:val="decimal"/>
      <w:lvlText w:val="%1"/>
      <w:lvlJc w:val="start"/>
      <w:pPr>
        <w:tabs>
          <w:tab w:val="num" w:pos="600"/>
        </w:tabs>
        <w:ind w:start="600" w:hanging="600"/>
      </w:pPr>
      <w:rPr/>
    </w:lvl>
    <w:lvl w:ilvl="1">
      <w:start w:val="2"/>
      <w:numFmt w:val="decimal"/>
      <w:lvlText w:val="%1.%2"/>
      <w:lvlJc w:val="start"/>
      <w:pPr>
        <w:tabs>
          <w:tab w:val="num" w:pos="976"/>
        </w:tabs>
        <w:ind w:start="976" w:hanging="600"/>
      </w:pPr>
      <w:rPr/>
    </w:lvl>
    <w:lvl w:ilvl="2">
      <w:start w:val="10"/>
      <w:numFmt w:val="decimal"/>
      <w:lvlText w:val="%1.%2.%3"/>
      <w:lvlJc w:val="start"/>
      <w:pPr>
        <w:tabs>
          <w:tab w:val="num" w:pos="1440"/>
        </w:tabs>
        <w:ind w:start="1440" w:hanging="720"/>
      </w:pPr>
      <w:rPr>
        <w:sz w:val="21"/>
        <w:szCs w:val="21"/>
      </w:rPr>
    </w:lvl>
    <w:lvl w:ilvl="3">
      <w:start w:val="1"/>
      <w:numFmt w:val="decimal"/>
      <w:lvlText w:val="%1.%2.%3.%4"/>
      <w:lvlJc w:val="start"/>
      <w:pPr>
        <w:tabs>
          <w:tab w:val="num" w:pos="1848"/>
        </w:tabs>
        <w:ind w:start="1848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2224"/>
        </w:tabs>
        <w:ind w:start="2224" w:hanging="720"/>
      </w:pPr>
      <w:rPr/>
    </w:lvl>
    <w:lvl w:ilvl="5">
      <w:start w:val="1"/>
      <w:numFmt w:val="decimal"/>
      <w:lvlText w:val="%1.%2.%3.%4.%5.%6"/>
      <w:lvlJc w:val="start"/>
      <w:pPr>
        <w:tabs>
          <w:tab w:val="num" w:pos="2960"/>
        </w:tabs>
        <w:ind w:start="296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3336"/>
        </w:tabs>
        <w:ind w:start="3336" w:hanging="108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4072"/>
        </w:tabs>
        <w:ind w:start="4072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4448"/>
        </w:tabs>
        <w:ind w:start="4448" w:hanging="1440"/>
      </w:pPr>
      <w:rPr/>
    </w:lvl>
  </w:abstractNum>
  <w:abstractNum w:abstractNumId="4">
    <w:lvl w:ilvl="0">
      <w:start w:val="1"/>
      <w:numFmt w:val="bullet"/>
      <w:lvlText w:val=""/>
      <w:lvlJc w:val="start"/>
      <w:pPr>
        <w:tabs>
          <w:tab w:val="num" w:pos="708"/>
        </w:tabs>
        <w:ind w:start="7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"/>
      <w:lvlJc w:val="start"/>
      <w:pPr>
        <w:tabs>
          <w:tab w:val="num" w:pos="708"/>
        </w:tabs>
        <w:ind w:start="7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start"/>
      <w:pPr>
        <w:tabs>
          <w:tab w:val="num" w:pos="1068"/>
        </w:tabs>
        <w:ind w:start="1068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start"/>
      <w:pPr>
        <w:tabs>
          <w:tab w:val="num" w:pos="708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"/>
      <w:lvlJc w:val="start"/>
      <w:pPr>
        <w:tabs>
          <w:tab w:val="num" w:pos="708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"/>
      <w:lvlJc w:val="start"/>
      <w:pPr>
        <w:tabs>
          <w:tab w:val="num" w:pos="1068"/>
        </w:tabs>
        <w:ind w:start="1068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"/>
      <w:lvlJc w:val="start"/>
      <w:pPr>
        <w:tabs>
          <w:tab w:val="num" w:pos="708"/>
        </w:tabs>
        <w:ind w:start="7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autoSpaceDE w:val="false"/>
      <w:jc w:val="center"/>
      <w:outlineLvl w:val="0"/>
    </w:pPr>
    <w:rPr>
      <w:rFonts w:ascii="TimesNewRoman,Bold;Times New Roman" w:hAnsi="TimesNewRoman,Bold;Times New Roman" w:cs="TimesNewRoman,Bold;Times New Roman"/>
      <w:b/>
      <w:bCs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9z2">
    <w:name w:val="WW8Num9z2"/>
    <w:qFormat/>
    <w:rPr>
      <w:sz w:val="21"/>
      <w:szCs w:val="21"/>
    </w:rPr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Wingdings" w:hAnsi="Wingdings" w:cs="Wingdings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4z2">
    <w:name w:val="WW8Num14z2"/>
    <w:qFormat/>
    <w:rPr>
      <w:sz w:val="21"/>
      <w:szCs w:val="21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9z0">
    <w:name w:val="WW8Num19z0"/>
    <w:qFormat/>
    <w:rPr>
      <w:rFonts w:ascii="Wingdings" w:hAnsi="Wingdings" w:cs="Wingdings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Wingdings" w:hAnsi="Wingdings" w:cs="Wingdings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>
      <w:rFonts w:ascii="Wingdings" w:hAnsi="Wingdings" w:cs="Wingdings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3">
    <w:name w:val="WW8Num21z3"/>
    <w:qFormat/>
    <w:rPr>
      <w:rFonts w:ascii="Symbol" w:hAnsi="Symbol" w:cs="Symbol"/>
    </w:rPr>
  </w:style>
  <w:style w:type="character" w:styleId="WW8Num22z0">
    <w:name w:val="WW8Num22z0"/>
    <w:qFormat/>
    <w:rPr>
      <w:rFonts w:ascii="Wingdings" w:hAnsi="Wingdings" w:cs="Wingdings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Wingdings" w:hAnsi="Wingdings" w:cs="Wingdings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Style14">
    <w:name w:val="Название Знак"/>
    <w:qFormat/>
    <w:rPr>
      <w:rFonts w:ascii="TimesNewRoman,Bold;Times New Roman" w:hAnsi="TimesNewRoman,Bold;Times New Roman" w:cs="TimesNewRoman,Bold;Times New Roman"/>
      <w:b/>
      <w:bCs/>
      <w:sz w:val="24"/>
      <w:szCs w:val="24"/>
    </w:rPr>
  </w:style>
  <w:style w:type="character" w:styleId="Style15">
    <w:name w:val="Основной текст Знак"/>
    <w:qFormat/>
    <w:rPr>
      <w:rFonts w:ascii="TimesNewRoman;Times New Roman" w:hAnsi="TimesNewRoman;Times New Roman" w:cs="TimesNewRoman;Times New Roman"/>
      <w:sz w:val="24"/>
      <w:szCs w:val="24"/>
    </w:rPr>
  </w:style>
  <w:style w:type="character" w:styleId="Bodytext2">
    <w:name w:val="Body text (2)_"/>
    <w:qFormat/>
    <w:rPr>
      <w:sz w:val="22"/>
      <w:szCs w:val="22"/>
      <w:shd w:fill="FFFFFF" w:val="clear"/>
    </w:rPr>
  </w:style>
  <w:style w:type="paragraph" w:styleId="Style16">
    <w:name w:val="Заголовок"/>
    <w:basedOn w:val="Normal"/>
    <w:next w:val="BodyText"/>
    <w:qFormat/>
    <w:pPr>
      <w:autoSpaceDE w:val="false"/>
      <w:jc w:val="center"/>
    </w:pPr>
    <w:rPr>
      <w:rFonts w:ascii="TimesNewRoman,Bold;Times New Roman" w:hAnsi="TimesNewRoman,Bold;Times New Roman" w:cs="TimesNewRoman,Bold;Times New Roman"/>
      <w:b/>
      <w:bCs/>
    </w:rPr>
  </w:style>
  <w:style w:type="paragraph" w:styleId="BodyText">
    <w:name w:val="Body Text"/>
    <w:basedOn w:val="Normal"/>
    <w:pPr>
      <w:autoSpaceDE w:val="false"/>
      <w:jc w:val="both"/>
    </w:pPr>
    <w:rPr>
      <w:rFonts w:ascii="TimesNewRoman;Times New Roman" w:hAnsi="TimesNewRoman;Times New Roman" w:cs="TimesNewRoman;Times New Roma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Style18">
    <w:name w:val="Обычный (веб)"/>
    <w:basedOn w:val="Normal"/>
    <w:qFormat/>
    <w:pPr>
      <w:spacing w:before="280" w:after="280"/>
    </w:pPr>
    <w:rPr/>
  </w:style>
  <w:style w:type="paragraph" w:styleId="BodyTextIndent">
    <w:name w:val="Body Text Indent"/>
    <w:basedOn w:val="Normal"/>
    <w:pPr>
      <w:autoSpaceDE w:val="false"/>
      <w:ind w:firstLine="708" w:start="0" w:end="0"/>
    </w:pPr>
    <w:rPr>
      <w:rFonts w:ascii="TimesNewRoman;Times New Roman" w:hAnsi="TimesNewRoman;Times New Roman" w:cs="TimesNewRoman;Times New Roman"/>
      <w:sz w:val="21"/>
    </w:rPr>
  </w:style>
  <w:style w:type="paragraph" w:styleId="2">
    <w:name w:val="Основной текст с отступом 2"/>
    <w:basedOn w:val="Normal"/>
    <w:qFormat/>
    <w:pPr>
      <w:autoSpaceDE w:val="false"/>
      <w:ind w:firstLine="708" w:start="0" w:end="0"/>
      <w:jc w:val="both"/>
    </w:pPr>
    <w:rPr>
      <w:rFonts w:ascii="TimesNewRoman;Times New Roman" w:hAnsi="TimesNewRoman;Times New Roman" w:cs="TimesNewRoman;Times New Roman"/>
      <w:sz w:val="21"/>
    </w:rPr>
  </w:style>
  <w:style w:type="paragraph" w:styleId="3">
    <w:name w:val="Основной текст с отступом 3"/>
    <w:basedOn w:val="Normal"/>
    <w:qFormat/>
    <w:pPr>
      <w:autoSpaceDE w:val="false"/>
      <w:ind w:firstLine="708" w:start="0" w:end="0"/>
      <w:jc w:val="both"/>
    </w:pPr>
    <w:rPr>
      <w:rFonts w:ascii="TimesNewRoman;Times New Roman" w:hAnsi="TimesNewRoman;Times New Roman" w:cs="TimesNewRoman;Times New Roma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bidi="ar-SA" w:val="ru-RU" w:eastAsia="zh-CN"/>
    </w:rPr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Абзац списка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bidi="ar-SA" w:val="ru-RU" w:eastAsia="zh-CN"/>
    </w:rPr>
  </w:style>
  <w:style w:type="paragraph" w:styleId="Bodytext21">
    <w:name w:val="Body text (2)"/>
    <w:basedOn w:val="Normal"/>
    <w:qFormat/>
    <w:pPr>
      <w:widowControl w:val="false"/>
      <w:shd w:fill="FFFFFF" w:val="clear"/>
      <w:spacing w:lineRule="atLeast" w:line="0"/>
      <w:jc w:val="center"/>
    </w:pPr>
    <w:rPr>
      <w:sz w:val="22"/>
      <w:szCs w:val="22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2020-08-13T16:03:00Z</dcterms:created>
  <dc:creator>МУП БГО ВО «Борисоглебские теплосети»</dc:creator>
  <dc:description/>
  <cp:keywords/>
  <dc:language>ru-RU</dc:language>
  <cp:lastModifiedBy>МУП БГО ВО «Борисоглебские теплосети»</cp:lastModifiedBy>
  <cp:lastPrinted>2017-09-28T17:26:00Z</cp:lastPrinted>
  <dcterms:modified xsi:type="dcterms:W3CDTF">2026-10-12T11:35:00Z</dcterms:modified>
  <cp:revision>8</cp:revision>
  <dc:subject/>
  <dc:title>ДОГОВОР ТЕПЛОСНАБЖЕНИЯ № ___________</dc:title>
</cp:coreProperties>
</file>